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6C13C2F2"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3C34C6">
        <w:rPr>
          <w:rFonts w:ascii="ArialMT" w:hAnsi="ArialMT" w:cs="ArialMT"/>
          <w:sz w:val="24"/>
          <w:szCs w:val="24"/>
          <w:lang w:val="en-US"/>
        </w:rPr>
        <w:t>IAB</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3C34C6">
        <w:rPr>
          <w:rFonts w:ascii="ArialMT" w:hAnsi="ArialMT" w:cs="ArialMT"/>
          <w:sz w:val="24"/>
          <w:szCs w:val="24"/>
          <w:lang w:val="en-US"/>
        </w:rPr>
        <w:t>C. Arnoult</w:t>
      </w:r>
    </w:p>
    <w:p w14:paraId="197072B7" w14:textId="1FEF903C"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3C34C6">
        <w:rPr>
          <w:rFonts w:ascii="ArialMT" w:hAnsi="ArialMT" w:cs="ArialMT"/>
          <w:sz w:val="24"/>
          <w:szCs w:val="24"/>
          <w:lang w:val="en-US"/>
        </w:rPr>
        <w:t>Epigénétique translationnelle</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3C34C6">
        <w:rPr>
          <w:rFonts w:ascii="ArialMT" w:hAnsi="ArialMT" w:cs="ArialMT"/>
          <w:sz w:val="24"/>
          <w:szCs w:val="24"/>
          <w:lang w:val="en-US"/>
        </w:rPr>
        <w:t>J. Govin</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77777777"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44FFBB39" w14:textId="3E67390B" w:rsidR="004678A1" w:rsidRDefault="003C34C6"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 xml:space="preserve">Cécile Garnaud, </w:t>
      </w:r>
    </w:p>
    <w:p w14:paraId="7D1F3C24" w14:textId="78A7D3D1" w:rsidR="00624AC9" w:rsidRPr="003C34C6"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yes</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3C34C6">
        <w:rPr>
          <w:rFonts w:ascii="MS Gothic" w:eastAsia="MS Gothic" w:hAnsi="ArialMT" w:cs="ArialMT" w:hint="eastAsia"/>
          <w:b/>
          <w:bCs/>
          <w:sz w:val="24"/>
          <w:szCs w:val="24"/>
          <w:lang w:val="en-US"/>
        </w:rPr>
        <w:sym w:font="Wingdings" w:char="F0FE"/>
      </w:r>
    </w:p>
    <w:p w14:paraId="32532B5D" w14:textId="5279FCD7" w:rsidR="00624AC9" w:rsidRPr="003C34C6" w:rsidRDefault="00F04B61" w:rsidP="00624AC9">
      <w:pPr>
        <w:widowControl w:val="0"/>
        <w:autoSpaceDE w:val="0"/>
        <w:autoSpaceDN w:val="0"/>
        <w:adjustRightInd w:val="0"/>
        <w:spacing w:after="0" w:line="240" w:lineRule="auto"/>
        <w:ind w:right="-6"/>
        <w:rPr>
          <w:rFonts w:ascii="ArialMT" w:hAnsi="ArialMT" w:cs="ArialMT"/>
          <w:sz w:val="24"/>
          <w:szCs w:val="24"/>
        </w:rPr>
      </w:pPr>
      <w:r w:rsidRPr="003C34C6">
        <w:rPr>
          <w:rFonts w:ascii="ArialMT" w:hAnsi="ArialMT" w:cs="ArialMT"/>
          <w:b/>
          <w:bCs/>
          <w:sz w:val="24"/>
          <w:szCs w:val="24"/>
        </w:rPr>
        <w:t>Ad</w:t>
      </w:r>
      <w:r w:rsidR="001068C8" w:rsidRPr="003C34C6">
        <w:rPr>
          <w:rFonts w:ascii="ArialMT" w:hAnsi="ArialMT" w:cs="ArialMT"/>
          <w:b/>
          <w:bCs/>
          <w:sz w:val="24"/>
          <w:szCs w:val="24"/>
        </w:rPr>
        <w:t>d</w:t>
      </w:r>
      <w:r w:rsidRPr="003C34C6">
        <w:rPr>
          <w:rFonts w:ascii="ArialMT" w:hAnsi="ArialMT" w:cs="ArialMT"/>
          <w:b/>
          <w:bCs/>
          <w:sz w:val="24"/>
          <w:szCs w:val="24"/>
        </w:rPr>
        <w:t>ress</w:t>
      </w:r>
      <w:r w:rsidR="00624AC9" w:rsidRPr="003C34C6">
        <w:rPr>
          <w:rFonts w:ascii="ArialMT" w:hAnsi="ArialMT" w:cs="ArialMT"/>
          <w:b/>
          <w:bCs/>
          <w:sz w:val="24"/>
          <w:szCs w:val="24"/>
        </w:rPr>
        <w:t>:</w:t>
      </w:r>
      <w:r w:rsidR="00624AC9" w:rsidRPr="003C34C6">
        <w:rPr>
          <w:rFonts w:ascii="ArialMT" w:hAnsi="ArialMT" w:cs="ArialMT"/>
          <w:sz w:val="24"/>
          <w:szCs w:val="24"/>
        </w:rPr>
        <w:t xml:space="preserve"> </w:t>
      </w:r>
      <w:r w:rsidR="003C34C6" w:rsidRPr="003C34C6">
        <w:rPr>
          <w:rFonts w:ascii="ArialMT" w:hAnsi="ArialMT" w:cs="ArialMT"/>
          <w:sz w:val="24"/>
          <w:szCs w:val="24"/>
        </w:rPr>
        <w:t>Allée des</w:t>
      </w:r>
      <w:r w:rsidR="003C34C6">
        <w:rPr>
          <w:rFonts w:ascii="ArialMT" w:hAnsi="ArialMT" w:cs="ArialMT"/>
          <w:sz w:val="24"/>
          <w:szCs w:val="24"/>
        </w:rPr>
        <w:t xml:space="preserve"> Alpes, 38700 La Tronche</w:t>
      </w:r>
    </w:p>
    <w:p w14:paraId="3BB3530C" w14:textId="6CBC3CB3" w:rsidR="00624AC9" w:rsidRPr="003C34C6"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r w:rsidRPr="003C34C6">
        <w:rPr>
          <w:rFonts w:ascii="ArialMT" w:hAnsi="ArialMT" w:cs="ArialMT"/>
          <w:b/>
          <w:bCs/>
          <w:sz w:val="24"/>
          <w:szCs w:val="24"/>
        </w:rPr>
        <w:t>Phone</w:t>
      </w:r>
      <w:r w:rsidR="00624AC9" w:rsidRPr="003C34C6">
        <w:rPr>
          <w:rFonts w:ascii="ArialMT" w:hAnsi="ArialMT" w:cs="ArialMT"/>
          <w:b/>
          <w:bCs/>
          <w:sz w:val="24"/>
          <w:szCs w:val="24"/>
        </w:rPr>
        <w:t>:</w:t>
      </w:r>
      <w:r w:rsidR="00624AC9" w:rsidRPr="003C34C6">
        <w:rPr>
          <w:rFonts w:ascii="ArialMT" w:hAnsi="ArialMT" w:cs="ArialMT"/>
          <w:sz w:val="24"/>
          <w:szCs w:val="24"/>
        </w:rPr>
        <w:t xml:space="preserve"> </w:t>
      </w:r>
      <w:r w:rsidR="00624AC9" w:rsidRPr="003C34C6">
        <w:rPr>
          <w:rFonts w:ascii="ArialMT" w:hAnsi="ArialMT" w:cs="ArialMT"/>
          <w:b/>
          <w:bCs/>
          <w:sz w:val="24"/>
          <w:szCs w:val="24"/>
        </w:rPr>
        <w:tab/>
        <w:t>e</w:t>
      </w:r>
      <w:r w:rsidRPr="003C34C6">
        <w:rPr>
          <w:rFonts w:ascii="ArialMT" w:hAnsi="ArialMT" w:cs="ArialMT"/>
          <w:b/>
          <w:bCs/>
          <w:sz w:val="24"/>
          <w:szCs w:val="24"/>
        </w:rPr>
        <w:t>-mail</w:t>
      </w:r>
      <w:r w:rsidR="00624AC9" w:rsidRPr="003C34C6">
        <w:rPr>
          <w:rFonts w:ascii="ArialMT" w:hAnsi="ArialMT" w:cs="ArialMT"/>
          <w:b/>
          <w:bCs/>
          <w:sz w:val="24"/>
          <w:szCs w:val="24"/>
        </w:rPr>
        <w:t>:</w:t>
      </w:r>
      <w:r w:rsidR="00624AC9" w:rsidRPr="003C34C6">
        <w:rPr>
          <w:rFonts w:ascii="ArialMT" w:hAnsi="ArialMT" w:cs="ArialMT"/>
          <w:sz w:val="24"/>
          <w:szCs w:val="24"/>
        </w:rPr>
        <w:t xml:space="preserve"> </w:t>
      </w:r>
      <w:r w:rsidR="003C34C6">
        <w:rPr>
          <w:rFonts w:ascii="ArialMT" w:hAnsi="ArialMT" w:cs="ArialMT"/>
          <w:sz w:val="24"/>
          <w:szCs w:val="24"/>
        </w:rPr>
        <w:t>cgarnaud@chu-grenoble.fr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1F110B15" w:rsidR="00F04B61" w:rsidRPr="00E03D5C" w:rsidRDefault="003C34C6"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Pr>
          <w:rFonts w:ascii="MS Gothic" w:eastAsia="MS Gothic" w:hAnsi="ArialMT" w:cs="ArialMT" w:hint="eastAsia"/>
          <w:b/>
          <w:bCs/>
          <w:sz w:val="24"/>
          <w:szCs w:val="24"/>
          <w:lang w:val="en-US"/>
        </w:rPr>
        <w:sym w:font="Wingdings" w:char="F0FE"/>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C9CC688" w:rsidR="00271FD2" w:rsidRDefault="003C34C6"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MS Gothic" w:eastAsia="MS Gothic" w:hAnsi="ArialMT" w:cs="ArialMT" w:hint="eastAsia"/>
          <w:b/>
          <w:bCs/>
          <w:sz w:val="24"/>
          <w:szCs w:val="24"/>
          <w:lang w:val="en-US"/>
        </w:rPr>
        <w:sym w:font="Wingdings" w:char="F0FE"/>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
    <w:p w14:paraId="2922138A" w14:textId="3B401FEE" w:rsidR="00624AC9" w:rsidRPr="00F04B61" w:rsidRDefault="00946FD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946FD0">
        <w:rPr>
          <w:rFonts w:ascii="ArialMT" w:hAnsi="ArialMT" w:cs="ArialMT"/>
          <w:b/>
          <w:sz w:val="24"/>
          <w:szCs w:val="24"/>
          <w:lang w:val="en-US"/>
        </w:rPr>
        <w:t xml:space="preserve">    Epigenetic and </w:t>
      </w:r>
      <w:r>
        <w:rPr>
          <w:rFonts w:ascii="ArialMT" w:hAnsi="ArialMT" w:cs="ArialMT"/>
          <w:b/>
          <w:sz w:val="24"/>
          <w:szCs w:val="24"/>
          <w:lang w:val="en-US"/>
        </w:rPr>
        <w:t>m</w:t>
      </w:r>
      <w:r w:rsidRPr="00946FD0">
        <w:rPr>
          <w:rFonts w:ascii="ArialMT" w:hAnsi="ArialMT" w:cs="ArialMT"/>
          <w:b/>
          <w:sz w:val="24"/>
          <w:szCs w:val="24"/>
          <w:lang w:val="en-US"/>
        </w:rPr>
        <w:t xml:space="preserve">etabolic </w:t>
      </w:r>
      <w:r>
        <w:rPr>
          <w:rFonts w:ascii="ArialMT" w:hAnsi="ArialMT" w:cs="ArialMT"/>
          <w:b/>
          <w:sz w:val="24"/>
          <w:szCs w:val="24"/>
          <w:lang w:val="en-US"/>
        </w:rPr>
        <w:t>d</w:t>
      </w:r>
      <w:r w:rsidRPr="00946FD0">
        <w:rPr>
          <w:rFonts w:ascii="ArialMT" w:hAnsi="ArialMT" w:cs="ArialMT"/>
          <w:b/>
          <w:sz w:val="24"/>
          <w:szCs w:val="24"/>
          <w:lang w:val="en-US"/>
        </w:rPr>
        <w:t xml:space="preserve">rivers of </w:t>
      </w:r>
      <w:r>
        <w:rPr>
          <w:rFonts w:ascii="ArialMT" w:hAnsi="ArialMT" w:cs="ArialMT"/>
          <w:b/>
          <w:sz w:val="24"/>
          <w:szCs w:val="24"/>
          <w:lang w:val="en-US"/>
        </w:rPr>
        <w:t>a</w:t>
      </w:r>
      <w:r w:rsidRPr="00946FD0">
        <w:rPr>
          <w:rFonts w:ascii="ArialMT" w:hAnsi="ArialMT" w:cs="ArialMT"/>
          <w:b/>
          <w:sz w:val="24"/>
          <w:szCs w:val="24"/>
          <w:lang w:val="en-US"/>
        </w:rPr>
        <w:t xml:space="preserve">ntifungal </w:t>
      </w:r>
      <w:r>
        <w:rPr>
          <w:rFonts w:ascii="ArialMT" w:hAnsi="ArialMT" w:cs="ArialMT"/>
          <w:b/>
          <w:sz w:val="24"/>
          <w:szCs w:val="24"/>
          <w:lang w:val="en-US"/>
        </w:rPr>
        <w:t>t</w:t>
      </w:r>
      <w:r w:rsidRPr="00946FD0">
        <w:rPr>
          <w:rFonts w:ascii="ArialMT" w:hAnsi="ArialMT" w:cs="ArialMT"/>
          <w:b/>
          <w:sz w:val="24"/>
          <w:szCs w:val="24"/>
          <w:lang w:val="en-US"/>
        </w:rPr>
        <w:t>olerance</w:t>
      </w:r>
      <w:r>
        <w:rPr>
          <w:rFonts w:ascii="ArialMT" w:hAnsi="ArialMT" w:cs="ArialMT"/>
          <w:b/>
          <w:sz w:val="24"/>
          <w:szCs w:val="24"/>
          <w:lang w:val="en-US"/>
        </w:rPr>
        <w:t xml:space="preserve"> </w:t>
      </w:r>
      <w:r w:rsidR="00907B1A">
        <w:rPr>
          <w:rFonts w:ascii="ArialMT" w:hAnsi="ArialMT" w:cs="ArialMT"/>
          <w:b/>
          <w:sz w:val="24"/>
          <w:szCs w:val="24"/>
          <w:lang w:val="en-US"/>
        </w:rPr>
        <w:t xml:space="preserve">in </w:t>
      </w:r>
      <w:r w:rsidR="00907B1A" w:rsidRPr="00907B1A">
        <w:rPr>
          <w:rFonts w:ascii="ArialMT" w:hAnsi="ArialMT" w:cs="ArialMT"/>
          <w:b/>
          <w:i/>
          <w:iCs/>
          <w:sz w:val="24"/>
          <w:szCs w:val="24"/>
          <w:lang w:val="en-US"/>
        </w:rPr>
        <w:t>Candida albicans</w:t>
      </w:r>
    </w:p>
    <w:p w14:paraId="5123217C" w14:textId="545D076A" w:rsidR="00762921" w:rsidRPr="00163899" w:rsidRDefault="00F04B61" w:rsidP="0016389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66522D6E" w14:textId="7C2272A7" w:rsidR="00762921" w:rsidRPr="00762921" w:rsidRDefault="00946FD0" w:rsidP="00A21905">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Exploring the</w:t>
      </w:r>
      <w:r w:rsidR="00A21905">
        <w:rPr>
          <w:rFonts w:ascii="ArialMT" w:hAnsi="ArialMT" w:cs="ArialMT"/>
          <w:lang w:val="en-US"/>
        </w:rPr>
        <w:t xml:space="preserve"> </w:t>
      </w:r>
      <w:r w:rsidR="007727DD">
        <w:rPr>
          <w:rFonts w:ascii="ArialMT" w:hAnsi="ArialMT" w:cs="ArialMT"/>
          <w:lang w:val="en-US"/>
        </w:rPr>
        <w:t xml:space="preserve">mechanisms </w:t>
      </w:r>
      <w:r>
        <w:rPr>
          <w:rFonts w:ascii="ArialMT" w:hAnsi="ArialMT" w:cs="ArialMT"/>
          <w:lang w:val="en-US"/>
        </w:rPr>
        <w:t xml:space="preserve">of </w:t>
      </w:r>
      <w:r w:rsidR="00A21905">
        <w:rPr>
          <w:rFonts w:ascii="ArialMT" w:hAnsi="ArialMT" w:cs="ArialMT"/>
          <w:lang w:val="en-US"/>
        </w:rPr>
        <w:t xml:space="preserve">antifungal tolerance in </w:t>
      </w:r>
      <w:r>
        <w:rPr>
          <w:rFonts w:ascii="ArialMT" w:hAnsi="ArialMT" w:cs="ArialMT"/>
          <w:lang w:val="en-US"/>
        </w:rPr>
        <w:t>the pathogenic yeast</w:t>
      </w:r>
      <w:r w:rsidRPr="00122884">
        <w:rPr>
          <w:rFonts w:ascii="ArialMT" w:hAnsi="ArialMT" w:cs="ArialMT"/>
          <w:i/>
          <w:iCs/>
          <w:lang w:val="en-US"/>
        </w:rPr>
        <w:t xml:space="preserve"> </w:t>
      </w:r>
      <w:r w:rsidR="00A21905" w:rsidRPr="00122884">
        <w:rPr>
          <w:rFonts w:ascii="ArialMT" w:hAnsi="ArialMT" w:cs="ArialMT"/>
          <w:i/>
          <w:iCs/>
          <w:lang w:val="en-US"/>
        </w:rPr>
        <w:t>Candida albicans</w:t>
      </w:r>
      <w:r w:rsidR="00A21905">
        <w:rPr>
          <w:rFonts w:ascii="ArialMT" w:hAnsi="ArialMT" w:cs="ArialMT"/>
          <w:lang w:val="en-US"/>
        </w:rPr>
        <w:t xml:space="preserve"> </w:t>
      </w:r>
    </w:p>
    <w:p w14:paraId="3206E2B0" w14:textId="3DE5E64F" w:rsidR="00624AC9" w:rsidRPr="004C23DB" w:rsidRDefault="00F04B61" w:rsidP="004C23DB">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18B0F81D" w14:textId="77777777" w:rsidR="00946FD0" w:rsidRPr="00122884" w:rsidRDefault="00946FD0" w:rsidP="00946FD0">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lang w:val="en-GB"/>
        </w:rPr>
      </w:pPr>
      <w:r w:rsidRPr="00122884">
        <w:rPr>
          <w:rFonts w:ascii="ArialMT" w:hAnsi="ArialMT" w:cs="ArialMT"/>
          <w:lang w:val="en-GB"/>
        </w:rPr>
        <w:t xml:space="preserve">Vulvovaginal candidiasis (VVC) is one of the most common fungal infections, affecting 50–75% of women at least once during their lifetime. Approximately 10% of women develop recurrent VVC (RVVC), defined as four or more episodes per year, resulting in a major deterioration of quality of life. Current treatment relies primarily on azole antifungal drugs. However, repeated exposure to azoles promotes the emergence of antifungal resistance through the selection of genetic mutations. In addition to resistance, treatment failure may also result from antifungal tolerance, defined as the ability of a fungal population to survive and grow at drug concentrations above the minimal inhibitory concentration (MIC). The molecular mechanisms underlying antifungal tolerance remain largely unknown. Our preliminary data suggest that metabolic rewiring and epigenetic regulation play a central role in this adaptive process. This project therefore aims to elucidate how metabolism, metabolites, and epigenetic mechanisms contribute to azole tolerance in </w:t>
      </w:r>
      <w:r w:rsidRPr="00122884">
        <w:rPr>
          <w:rFonts w:ascii="ArialMT" w:hAnsi="ArialMT" w:cs="ArialMT"/>
          <w:i/>
          <w:iCs/>
          <w:lang w:val="en-GB"/>
        </w:rPr>
        <w:t>Candida albicans</w:t>
      </w:r>
      <w:r w:rsidRPr="00122884">
        <w:rPr>
          <w:rFonts w:ascii="ArialMT" w:hAnsi="ArialMT" w:cs="ArialMT"/>
          <w:lang w:val="en-GB"/>
        </w:rPr>
        <w:t xml:space="preserve"> during vulvovaginal candidiasis.</w:t>
      </w: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383F40FD" w14:textId="22F5E236" w:rsidR="00907B1A" w:rsidRPr="00163899" w:rsidRDefault="00946FD0" w:rsidP="00907B1A">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Pr>
          <w:rFonts w:ascii="ArialMT" w:hAnsi="ArialMT" w:cs="ArialMT"/>
          <w:lang w:val="en-GB"/>
        </w:rPr>
        <w:t>Yeast manipulation (</w:t>
      </w:r>
      <w:r w:rsidR="00907B1A" w:rsidRPr="00122884">
        <w:rPr>
          <w:rFonts w:ascii="ArialMT" w:hAnsi="ArialMT" w:cs="ArialMT"/>
          <w:i/>
          <w:iCs/>
          <w:lang w:val="en-GB"/>
        </w:rPr>
        <w:t>C. albicans</w:t>
      </w:r>
      <w:r>
        <w:rPr>
          <w:rFonts w:ascii="ArialMT" w:hAnsi="ArialMT" w:cs="ArialMT"/>
          <w:lang w:val="en-GB"/>
        </w:rPr>
        <w:t>)</w:t>
      </w:r>
    </w:p>
    <w:p w14:paraId="712800D6" w14:textId="14B704CD" w:rsidR="00624AC9" w:rsidRPr="00163899" w:rsidRDefault="00DD784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Pr>
          <w:rFonts w:ascii="ArialMT" w:hAnsi="ArialMT" w:cs="ArialMT"/>
          <w:lang w:val="en-GB"/>
        </w:rPr>
        <w:t>Phenotypic profiling: disk diffusion assays, MIC determination</w:t>
      </w:r>
    </w:p>
    <w:p w14:paraId="26B4FD57" w14:textId="65BDE997" w:rsidR="00624AC9" w:rsidRPr="00163899" w:rsidRDefault="00DD784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GB"/>
        </w:rPr>
      </w:pPr>
      <w:r>
        <w:rPr>
          <w:rFonts w:ascii="ArialMT" w:hAnsi="ArialMT" w:cs="ArialMT"/>
          <w:lang w:val="en-GB"/>
        </w:rPr>
        <w:t>Transcriptomic</w:t>
      </w:r>
      <w:r w:rsidR="0066467E">
        <w:rPr>
          <w:rFonts w:ascii="ArialMT" w:hAnsi="ArialMT" w:cs="ArialMT"/>
          <w:lang w:val="en-GB"/>
        </w:rPr>
        <w:t xml:space="preserve"> analysis</w:t>
      </w: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5CD8F8CB" w14:textId="65D31564" w:rsidR="00624AC9" w:rsidRPr="0066467E" w:rsidRDefault="00DD784F"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66467E">
        <w:rPr>
          <w:rFonts w:ascii="ArialMT" w:hAnsi="ArialMT" w:cs="ArialMT"/>
          <w:lang w:val="en-US"/>
        </w:rPr>
        <w:t>Wei K, et al.</w:t>
      </w:r>
      <w:r w:rsidR="0066467E" w:rsidRPr="0066467E">
        <w:rPr>
          <w:lang w:val="en-GB"/>
        </w:rPr>
        <w:t xml:space="preserve"> </w:t>
      </w:r>
      <w:r w:rsidR="0066467E" w:rsidRPr="0066467E">
        <w:rPr>
          <w:rFonts w:ascii="ArialMT" w:hAnsi="ArialMT" w:cs="ArialMT"/>
          <w:lang w:val="en-US"/>
        </w:rPr>
        <w:t>Humanized Candida and NanoBiT Assays Expedite Discovery of Bdf1 Bromodomain Inhibitors With Antifungal Potential</w:t>
      </w:r>
      <w:r w:rsidRPr="0066467E">
        <w:rPr>
          <w:rFonts w:ascii="ArialMT" w:hAnsi="ArialMT" w:cs="ArialMT"/>
          <w:lang w:val="en-US"/>
        </w:rPr>
        <w:t xml:space="preserve"> </w:t>
      </w:r>
      <w:r w:rsidRPr="0066467E">
        <w:rPr>
          <w:rFonts w:ascii="ArialMT" w:hAnsi="ArialMT" w:cs="ArialMT"/>
          <w:i/>
          <w:iCs/>
          <w:lang w:val="en-US"/>
        </w:rPr>
        <w:t>Adv Sci (Weinh)</w:t>
      </w:r>
      <w:r w:rsidRPr="0066467E">
        <w:rPr>
          <w:rFonts w:ascii="ArialMT" w:hAnsi="ArialMT" w:cs="ArialMT"/>
          <w:lang w:val="en-US"/>
        </w:rPr>
        <w:t>. 2025</w:t>
      </w:r>
    </w:p>
    <w:p w14:paraId="6DE878AA" w14:textId="5C23FA36" w:rsidR="0066467E" w:rsidRPr="0066467E" w:rsidRDefault="0066467E"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66467E">
        <w:rPr>
          <w:rFonts w:ascii="ArialMT" w:hAnsi="ArialMT" w:cs="ArialMT"/>
          <w:lang w:val="en-US"/>
        </w:rPr>
        <w:t xml:space="preserve">Garnaud C, et al. The Rim Pathway Mediates Antifungal Tolerance in Candida albicans through Newly Identified Rim101 Transcriptional Targets, Including Hsp90 and Ipt1. </w:t>
      </w:r>
      <w:r w:rsidRPr="0066467E">
        <w:rPr>
          <w:rFonts w:ascii="ArialMT" w:hAnsi="ArialMT" w:cs="ArialMT"/>
          <w:i/>
          <w:iCs/>
          <w:lang w:val="en-US"/>
        </w:rPr>
        <w:t>Antimicrob Agents Chemother</w:t>
      </w:r>
      <w:r w:rsidRPr="0066467E">
        <w:rPr>
          <w:rFonts w:ascii="ArialMT" w:hAnsi="ArialMT" w:cs="ArialMT"/>
          <w:lang w:val="en-US"/>
        </w:rPr>
        <w:t>. 2018</w:t>
      </w:r>
    </w:p>
    <w:p w14:paraId="0ACD6AC7" w14:textId="4B12D32B" w:rsidR="00624AC9" w:rsidRPr="0066467E" w:rsidRDefault="0066467E"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66467E">
        <w:rPr>
          <w:rFonts w:ascii="ArialMT" w:hAnsi="ArialMT" w:cs="ArialMT"/>
          <w:lang w:val="en-US"/>
        </w:rPr>
        <w:t xml:space="preserve">Mietton F, et al. Selective BET bromodomain inhibition as an antifungal therapeutic strategy. </w:t>
      </w:r>
      <w:r w:rsidRPr="0066467E">
        <w:rPr>
          <w:rFonts w:ascii="ArialMT" w:hAnsi="ArialMT" w:cs="ArialMT"/>
          <w:i/>
          <w:iCs/>
          <w:lang w:val="en-US"/>
        </w:rPr>
        <w:t>Nat Commun.</w:t>
      </w:r>
      <w:r w:rsidRPr="0066467E">
        <w:rPr>
          <w:rFonts w:ascii="ArialMT" w:hAnsi="ArialMT" w:cs="ArialMT"/>
          <w:lang w:val="en-US"/>
        </w:rPr>
        <w:t xml:space="preserve"> 2017</w:t>
      </w:r>
    </w:p>
    <w:p w14:paraId="6C666337" w14:textId="4DF3F01B" w:rsidR="00624AC9" w:rsidRPr="00122884" w:rsidRDefault="00F04B61" w:rsidP="00122884">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r w:rsidR="003C34C6" w:rsidRPr="003C34C6">
        <w:rPr>
          <w:rFonts w:ascii="ArialMT" w:hAnsi="ArialMT" w:cs="ArialMT"/>
          <w:sz w:val="24"/>
          <w:szCs w:val="24"/>
          <w:lang w:val="en-US"/>
        </w:rPr>
        <w:t>microbiology,</w:t>
      </w:r>
      <w:r w:rsidR="003C34C6">
        <w:rPr>
          <w:rFonts w:ascii="ArialMT" w:hAnsi="ArialMT" w:cs="ArialMT"/>
          <w:sz w:val="24"/>
          <w:szCs w:val="24"/>
          <w:lang w:val="en-US"/>
        </w:rPr>
        <w:t xml:space="preserve"> molecular biology</w:t>
      </w:r>
      <w:r w:rsidR="00946FD0">
        <w:rPr>
          <w:rFonts w:ascii="ArialMT" w:hAnsi="ArialMT" w:cs="ArialMT"/>
          <w:sz w:val="24"/>
          <w:szCs w:val="24"/>
          <w:lang w:val="en-US"/>
        </w:rPr>
        <w:t>, cell biology</w:t>
      </w:r>
    </w:p>
    <w:p w14:paraId="2677CC05" w14:textId="77777777" w:rsidR="003C73D3" w:rsidRPr="00F04B61" w:rsidRDefault="003C73D3">
      <w:pPr>
        <w:rPr>
          <w:lang w:val="en-US"/>
        </w:rPr>
      </w:pPr>
    </w:p>
    <w:sectPr w:rsidR="003C73D3" w:rsidRPr="00F04B61">
      <w:headerReference w:type="default" r:id="rId7"/>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0660" w14:textId="77777777" w:rsidR="00225C08" w:rsidRDefault="00225C08">
      <w:pPr>
        <w:spacing w:after="0" w:line="240" w:lineRule="auto"/>
      </w:pPr>
      <w:r>
        <w:separator/>
      </w:r>
    </w:p>
  </w:endnote>
  <w:endnote w:type="continuationSeparator" w:id="0">
    <w:p w14:paraId="75C7880E" w14:textId="77777777" w:rsidR="00225C08" w:rsidRDefault="00225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8E46" w14:textId="77777777" w:rsidR="00225C08" w:rsidRDefault="00225C08">
      <w:pPr>
        <w:spacing w:after="0" w:line="240" w:lineRule="auto"/>
      </w:pPr>
      <w:r>
        <w:separator/>
      </w:r>
    </w:p>
  </w:footnote>
  <w:footnote w:type="continuationSeparator" w:id="0">
    <w:p w14:paraId="348FE8B5" w14:textId="77777777" w:rsidR="00225C08" w:rsidRDefault="00225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5D46"/>
    <w:multiLevelType w:val="multilevel"/>
    <w:tmpl w:val="667C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727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87426"/>
    <w:rsid w:val="000E023E"/>
    <w:rsid w:val="000E54CC"/>
    <w:rsid w:val="001068C8"/>
    <w:rsid w:val="00122884"/>
    <w:rsid w:val="0014405C"/>
    <w:rsid w:val="00163899"/>
    <w:rsid w:val="00225C08"/>
    <w:rsid w:val="002505B8"/>
    <w:rsid w:val="00263BDC"/>
    <w:rsid w:val="00271FD2"/>
    <w:rsid w:val="00293C67"/>
    <w:rsid w:val="002C01AA"/>
    <w:rsid w:val="002E1648"/>
    <w:rsid w:val="003C34C6"/>
    <w:rsid w:val="003C4CA5"/>
    <w:rsid w:val="003C73D3"/>
    <w:rsid w:val="00404965"/>
    <w:rsid w:val="004678A1"/>
    <w:rsid w:val="004807C5"/>
    <w:rsid w:val="004C23DB"/>
    <w:rsid w:val="00521738"/>
    <w:rsid w:val="0058371E"/>
    <w:rsid w:val="005D0A84"/>
    <w:rsid w:val="0060152E"/>
    <w:rsid w:val="00613F7E"/>
    <w:rsid w:val="00624AC9"/>
    <w:rsid w:val="0064724F"/>
    <w:rsid w:val="006636E8"/>
    <w:rsid w:val="0066467E"/>
    <w:rsid w:val="006802F4"/>
    <w:rsid w:val="00695256"/>
    <w:rsid w:val="00696A0E"/>
    <w:rsid w:val="006D5B8C"/>
    <w:rsid w:val="006E7A3F"/>
    <w:rsid w:val="00762921"/>
    <w:rsid w:val="00767F47"/>
    <w:rsid w:val="007727DD"/>
    <w:rsid w:val="007874A7"/>
    <w:rsid w:val="007A1DD7"/>
    <w:rsid w:val="007B5E51"/>
    <w:rsid w:val="0080228C"/>
    <w:rsid w:val="00816D41"/>
    <w:rsid w:val="00825925"/>
    <w:rsid w:val="00834F6C"/>
    <w:rsid w:val="008433C7"/>
    <w:rsid w:val="00907B1A"/>
    <w:rsid w:val="00946FD0"/>
    <w:rsid w:val="009647F7"/>
    <w:rsid w:val="00987460"/>
    <w:rsid w:val="009B5542"/>
    <w:rsid w:val="00A104B8"/>
    <w:rsid w:val="00A21905"/>
    <w:rsid w:val="00A539E8"/>
    <w:rsid w:val="00AA45B4"/>
    <w:rsid w:val="00AE48EE"/>
    <w:rsid w:val="00AE7838"/>
    <w:rsid w:val="00B44FFB"/>
    <w:rsid w:val="00B5223B"/>
    <w:rsid w:val="00BA5683"/>
    <w:rsid w:val="00BB33C0"/>
    <w:rsid w:val="00C43A50"/>
    <w:rsid w:val="00C97339"/>
    <w:rsid w:val="00D1321E"/>
    <w:rsid w:val="00D276DC"/>
    <w:rsid w:val="00D85922"/>
    <w:rsid w:val="00DD784F"/>
    <w:rsid w:val="00DE25D5"/>
    <w:rsid w:val="00DF3271"/>
    <w:rsid w:val="00E02D88"/>
    <w:rsid w:val="00E03D5C"/>
    <w:rsid w:val="00E53717"/>
    <w:rsid w:val="00E72134"/>
    <w:rsid w:val="00EC7CC6"/>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66467E"/>
    <w:pPr>
      <w:ind w:left="720"/>
      <w:contextualSpacing/>
    </w:pPr>
  </w:style>
  <w:style w:type="paragraph" w:styleId="Rvision">
    <w:name w:val="Revision"/>
    <w:hidden/>
    <w:uiPriority w:val="99"/>
    <w:semiHidden/>
    <w:rsid w:val="00946FD0"/>
    <w:pPr>
      <w:spacing w:after="0" w:line="240" w:lineRule="auto"/>
    </w:pPr>
    <w:rPr>
      <w:rFonts w:ascii="Calibri" w:hAnsi="Calibri"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2282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2026-07-03T08:23:00Z</dcterms:created>
  <dcterms:modified xsi:type="dcterms:W3CDTF">2026-07-03T08:23:00Z</dcterms:modified>
</cp:coreProperties>
</file>