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52AE6116"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E23C9">
        <w:rPr>
          <w:rFonts w:ascii="ArialMT" w:hAnsi="ArialMT" w:cs="ArialMT"/>
          <w:sz w:val="24"/>
          <w:szCs w:val="24"/>
          <w:lang w:val="en-US"/>
        </w:rPr>
        <w:t>BGE/IRIG</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E23C9">
        <w:rPr>
          <w:rFonts w:ascii="ArialMT" w:hAnsi="ArialMT" w:cs="ArialMT"/>
          <w:sz w:val="24"/>
          <w:szCs w:val="24"/>
          <w:lang w:val="en-US"/>
        </w:rPr>
        <w:t xml:space="preserve">Dr M.O. </w:t>
      </w:r>
      <w:proofErr w:type="spellStart"/>
      <w:r w:rsidR="002E23C9">
        <w:rPr>
          <w:rFonts w:ascii="ArialMT" w:hAnsi="ArialMT" w:cs="ArialMT"/>
          <w:sz w:val="24"/>
          <w:szCs w:val="24"/>
          <w:lang w:val="en-US"/>
        </w:rPr>
        <w:t>Fauvarque</w:t>
      </w:r>
      <w:proofErr w:type="spellEnd"/>
    </w:p>
    <w:p w14:paraId="197072B7" w14:textId="5AA1CCED"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4844F1">
        <w:rPr>
          <w:rFonts w:ascii="ArialMT" w:hAnsi="ArialMT" w:cs="ArialMT"/>
          <w:sz w:val="24"/>
          <w:szCs w:val="24"/>
          <w:lang w:val="en-US"/>
        </w:rPr>
        <w:t>Gen&amp;Chem</w:t>
      </w:r>
      <w:proofErr w:type="spellEnd"/>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E23C9">
        <w:rPr>
          <w:rFonts w:ascii="ArialMT" w:hAnsi="ArialMT" w:cs="ArialMT"/>
          <w:sz w:val="24"/>
          <w:szCs w:val="24"/>
          <w:lang w:val="en-US"/>
        </w:rPr>
        <w:t xml:space="preserve">Dr M.O. </w:t>
      </w:r>
      <w:proofErr w:type="spellStart"/>
      <w:r w:rsidR="002E23C9">
        <w:rPr>
          <w:rFonts w:ascii="ArialMT" w:hAnsi="ArialMT" w:cs="ArialMT"/>
          <w:sz w:val="24"/>
          <w:szCs w:val="24"/>
          <w:lang w:val="en-US"/>
        </w:rPr>
        <w:t>Fauvarque</w:t>
      </w:r>
      <w:proofErr w:type="spellEnd"/>
    </w:p>
    <w:p w14:paraId="348F8B2C" w14:textId="35FEC0D6"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E23C9">
        <w:rPr>
          <w:rFonts w:ascii="ArialMT" w:hAnsi="ArialMT" w:cs="ArialMT"/>
          <w:sz w:val="24"/>
          <w:szCs w:val="24"/>
          <w:lang w:val="en-US"/>
        </w:rPr>
        <w:t xml:space="preserve">Dr E. </w:t>
      </w:r>
      <w:proofErr w:type="spellStart"/>
      <w:r w:rsidR="002E23C9">
        <w:rPr>
          <w:rFonts w:ascii="ArialMT" w:hAnsi="ArialMT" w:cs="ArialMT"/>
          <w:sz w:val="24"/>
          <w:szCs w:val="24"/>
          <w:lang w:val="en-US"/>
        </w:rPr>
        <w:t>Taillebourg</w:t>
      </w:r>
      <w:proofErr w:type="spellEnd"/>
      <w:r w:rsidR="002E23C9">
        <w:rPr>
          <w:rFonts w:ascii="ArialMT" w:hAnsi="ArialMT" w:cs="ArialMT"/>
          <w:sz w:val="24"/>
          <w:szCs w:val="24"/>
          <w:lang w:val="en-US"/>
        </w:rPr>
        <w:t>, DR CEA</w:t>
      </w:r>
    </w:p>
    <w:p w14:paraId="7D1F3C24" w14:textId="5C01BCFC"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w:t>
      </w:r>
      <w:proofErr w:type="gramStart"/>
      <w:r>
        <w:rPr>
          <w:rFonts w:ascii="ArialMT" w:hAnsi="ArialMT" w:cs="ArialMT"/>
          <w:b/>
          <w:bCs/>
          <w:sz w:val="24"/>
          <w:szCs w:val="24"/>
          <w:lang w:val="en-US"/>
        </w:rPr>
        <w:t>yes</w:t>
      </w:r>
      <w:proofErr w:type="gramEnd"/>
      <w:r w:rsidR="00624AC9" w:rsidRPr="00F04B61">
        <w:rPr>
          <w:rFonts w:ascii="ArialMT" w:hAnsi="ArialMT" w:cs="ArialMT"/>
          <w:b/>
          <w:bCs/>
          <w:sz w:val="24"/>
          <w:szCs w:val="24"/>
          <w:lang w:val="en-US"/>
        </w:rPr>
        <w:t xml:space="preserve"> </w:t>
      </w:r>
      <w:r w:rsidR="002E23C9">
        <w:rPr>
          <w:rFonts w:ascii="MS Gothic" w:eastAsia="MS Gothic" w:hAnsi="ArialMT" w:cs="ArialMT" w:hint="eastAsia"/>
          <w:b/>
          <w:bCs/>
          <w:sz w:val="24"/>
          <w:szCs w:val="24"/>
          <w:lang w:val="en-US"/>
        </w:rPr>
        <w:t>X</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p>
    <w:p w14:paraId="32532B5D" w14:textId="3D432B3C" w:rsidR="00624AC9" w:rsidRPr="00F04B61" w:rsidRDefault="00F04B61" w:rsidP="00624AC9">
      <w:pPr>
        <w:widowControl w:val="0"/>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Ad</w:t>
      </w:r>
      <w:r w:rsidR="001068C8">
        <w:rPr>
          <w:rFonts w:ascii="ArialMT" w:hAnsi="ArialMT" w:cs="ArialMT"/>
          <w:b/>
          <w:bCs/>
          <w:sz w:val="24"/>
          <w:szCs w:val="24"/>
          <w:lang w:val="en-US"/>
        </w:rPr>
        <w:t>d</w:t>
      </w:r>
      <w:r w:rsidRPr="00F04B61">
        <w:rPr>
          <w:rFonts w:ascii="ArialMT" w:hAnsi="ArialMT" w:cs="ArialMT"/>
          <w:b/>
          <w:bCs/>
          <w:sz w:val="24"/>
          <w:szCs w:val="24"/>
          <w:lang w:val="en-US"/>
        </w:rPr>
        <w:t>ress</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E23C9">
        <w:rPr>
          <w:rFonts w:ascii="ArialMT" w:hAnsi="ArialMT" w:cs="ArialMT"/>
          <w:sz w:val="24"/>
          <w:szCs w:val="24"/>
          <w:lang w:val="en-US"/>
        </w:rPr>
        <w:t>CEA Grenoble</w:t>
      </w:r>
    </w:p>
    <w:p w14:paraId="3BB3530C" w14:textId="2859F63B" w:rsidR="00624AC9" w:rsidRPr="002E23C9"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2E23C9">
        <w:rPr>
          <w:rFonts w:ascii="ArialMT" w:hAnsi="ArialMT" w:cs="ArialMT"/>
          <w:b/>
          <w:bCs/>
          <w:sz w:val="24"/>
          <w:szCs w:val="24"/>
        </w:rPr>
        <w:t>Phone</w:t>
      </w:r>
      <w:r w:rsidR="00624AC9" w:rsidRPr="002E23C9">
        <w:rPr>
          <w:rFonts w:ascii="ArialMT" w:hAnsi="ArialMT" w:cs="ArialMT"/>
          <w:b/>
          <w:bCs/>
          <w:sz w:val="24"/>
          <w:szCs w:val="24"/>
        </w:rPr>
        <w:t>:</w:t>
      </w:r>
      <w:proofErr w:type="gramEnd"/>
      <w:r w:rsidR="00624AC9" w:rsidRPr="002E23C9">
        <w:rPr>
          <w:rFonts w:ascii="ArialMT" w:hAnsi="ArialMT" w:cs="ArialMT"/>
          <w:sz w:val="24"/>
          <w:szCs w:val="24"/>
        </w:rPr>
        <w:t xml:space="preserve"> </w:t>
      </w:r>
      <w:r w:rsidR="002E23C9" w:rsidRPr="002E23C9">
        <w:rPr>
          <w:rFonts w:ascii="ArialMT" w:hAnsi="ArialMT" w:cs="ArialMT"/>
          <w:sz w:val="24"/>
          <w:szCs w:val="24"/>
        </w:rPr>
        <w:t>0438782636</w:t>
      </w:r>
      <w:r w:rsidR="00624AC9" w:rsidRPr="002E23C9">
        <w:rPr>
          <w:rFonts w:ascii="ArialMT" w:hAnsi="ArialMT" w:cs="ArialMT"/>
          <w:b/>
          <w:bCs/>
          <w:sz w:val="24"/>
          <w:szCs w:val="24"/>
        </w:rPr>
        <w:tab/>
        <w:t>e</w:t>
      </w:r>
      <w:r w:rsidRPr="002E23C9">
        <w:rPr>
          <w:rFonts w:ascii="ArialMT" w:hAnsi="ArialMT" w:cs="ArialMT"/>
          <w:b/>
          <w:bCs/>
          <w:sz w:val="24"/>
          <w:szCs w:val="24"/>
        </w:rPr>
        <w:t>-mail</w:t>
      </w:r>
      <w:r w:rsidR="00624AC9" w:rsidRPr="002E23C9">
        <w:rPr>
          <w:rFonts w:ascii="ArialMT" w:hAnsi="ArialMT" w:cs="ArialMT"/>
          <w:b/>
          <w:bCs/>
          <w:sz w:val="24"/>
          <w:szCs w:val="24"/>
        </w:rPr>
        <w:t>:</w:t>
      </w:r>
      <w:r w:rsidR="00624AC9" w:rsidRPr="002E23C9">
        <w:rPr>
          <w:rFonts w:ascii="ArialMT" w:hAnsi="ArialMT" w:cs="ArialMT"/>
          <w:sz w:val="24"/>
          <w:szCs w:val="24"/>
        </w:rPr>
        <w:t xml:space="preserve"> </w:t>
      </w:r>
      <w:r w:rsidR="002E23C9" w:rsidRPr="002E23C9">
        <w:rPr>
          <w:rFonts w:ascii="ArialMT" w:hAnsi="ArialMT" w:cs="ArialMT"/>
          <w:sz w:val="24"/>
          <w:szCs w:val="24"/>
        </w:rPr>
        <w:t>Emmanuel.t</w:t>
      </w:r>
      <w:r w:rsidR="002E23C9">
        <w:rPr>
          <w:rFonts w:ascii="ArialMT" w:hAnsi="ArialMT" w:cs="ArialMT"/>
          <w:sz w:val="24"/>
          <w:szCs w:val="24"/>
        </w:rPr>
        <w:t>aillebourg@cea.fr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50EB6C1F"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46C717FE" w:rsidR="00271FD2" w:rsidRDefault="00090927"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Pr>
          <w:rFonts w:ascii="MS Gothic" w:eastAsia="MS Gothic" w:hAnsi="ArialMT" w:cs="ArialMT" w:hint="eastAsia"/>
          <w:b/>
          <w:bCs/>
          <w:sz w:val="24"/>
          <w:szCs w:val="24"/>
          <w:lang w:val="en-US"/>
        </w:rPr>
        <w:t>X</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
    <w:p w14:paraId="2922138A" w14:textId="4BA2D480" w:rsidR="00624AC9" w:rsidRPr="00F04B61" w:rsidRDefault="00CE52B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Pr>
          <w:rFonts w:ascii="ArialMT" w:hAnsi="ArialMT" w:cs="ArialMT"/>
          <w:b/>
          <w:sz w:val="24"/>
          <w:szCs w:val="24"/>
          <w:lang w:val="en-US"/>
        </w:rPr>
        <w:t>C</w:t>
      </w:r>
      <w:r w:rsidRPr="00CE52BF">
        <w:rPr>
          <w:rFonts w:ascii="ArialMT" w:hAnsi="ArialMT" w:cs="ArialMT"/>
          <w:b/>
          <w:sz w:val="24"/>
          <w:szCs w:val="24"/>
          <w:lang w:val="en-US"/>
        </w:rPr>
        <w:t xml:space="preserve">haracterization of the interaction between the </w:t>
      </w:r>
      <w:proofErr w:type="spellStart"/>
      <w:r w:rsidRPr="00CE52BF">
        <w:rPr>
          <w:rFonts w:ascii="ArialMT" w:hAnsi="ArialMT" w:cs="ArialMT"/>
          <w:b/>
          <w:sz w:val="24"/>
          <w:szCs w:val="24"/>
          <w:lang w:val="en-US"/>
        </w:rPr>
        <w:t>deubiquitinase</w:t>
      </w:r>
      <w:proofErr w:type="spellEnd"/>
      <w:r w:rsidRPr="00CE52BF">
        <w:rPr>
          <w:rFonts w:ascii="ArialMT" w:hAnsi="ArialMT" w:cs="ArialMT"/>
          <w:b/>
          <w:sz w:val="24"/>
          <w:szCs w:val="24"/>
          <w:lang w:val="en-US"/>
        </w:rPr>
        <w:t xml:space="preserve"> USP36 and the RNA-binding protein Pep during </w:t>
      </w:r>
      <w:r w:rsidRPr="00231EF7">
        <w:rPr>
          <w:rFonts w:ascii="ArialMT" w:hAnsi="ArialMT" w:cs="ArialMT"/>
          <w:b/>
          <w:i/>
          <w:iCs/>
          <w:sz w:val="24"/>
          <w:szCs w:val="24"/>
          <w:lang w:val="en-US"/>
        </w:rPr>
        <w:t>Drosophila</w:t>
      </w:r>
      <w:r w:rsidRPr="00CE52BF">
        <w:rPr>
          <w:rFonts w:ascii="ArialMT" w:hAnsi="ArialMT" w:cs="ArialMT"/>
          <w:b/>
          <w:sz w:val="24"/>
          <w:szCs w:val="24"/>
          <w:lang w:val="en-US"/>
        </w:rPr>
        <w:t xml:space="preserve"> spermatogenesis</w:t>
      </w:r>
    </w:p>
    <w:p w14:paraId="1B54586C"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1806A16F" w14:textId="0F89F7A6" w:rsidR="00624AC9" w:rsidRPr="00F04B61" w:rsidRDefault="00CE52B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The main objectives are to </w:t>
      </w:r>
      <w:r w:rsidRPr="00CE52BF">
        <w:rPr>
          <w:rFonts w:ascii="ArialMT" w:hAnsi="ArialMT" w:cs="ArialMT"/>
          <w:lang w:val="en-US"/>
        </w:rPr>
        <w:t xml:space="preserve">identify the domains mediating </w:t>
      </w:r>
      <w:r w:rsidR="00684E9E" w:rsidRPr="00CE52BF">
        <w:rPr>
          <w:rFonts w:ascii="ArialMT" w:hAnsi="ArialMT" w:cs="ArialMT"/>
          <w:lang w:val="en-US"/>
        </w:rPr>
        <w:t xml:space="preserve">the interaction between </w:t>
      </w:r>
      <w:r w:rsidR="00684E9E">
        <w:rPr>
          <w:rFonts w:ascii="ArialMT" w:hAnsi="ArialMT" w:cs="ArialMT"/>
          <w:lang w:val="en-US"/>
        </w:rPr>
        <w:t xml:space="preserve">the </w:t>
      </w:r>
      <w:proofErr w:type="spellStart"/>
      <w:r w:rsidR="00684E9E">
        <w:rPr>
          <w:rFonts w:ascii="ArialMT" w:hAnsi="ArialMT" w:cs="ArialMT"/>
          <w:lang w:val="en-US"/>
        </w:rPr>
        <w:t>deubiquitinase</w:t>
      </w:r>
      <w:proofErr w:type="spellEnd"/>
      <w:r w:rsidR="00684E9E">
        <w:rPr>
          <w:rFonts w:ascii="ArialMT" w:hAnsi="ArialMT" w:cs="ArialMT"/>
          <w:lang w:val="en-US"/>
        </w:rPr>
        <w:t xml:space="preserve"> </w:t>
      </w:r>
      <w:r w:rsidR="00684E9E" w:rsidRPr="00CE52BF">
        <w:rPr>
          <w:rFonts w:ascii="ArialMT" w:hAnsi="ArialMT" w:cs="ArialMT"/>
          <w:lang w:val="en-US"/>
        </w:rPr>
        <w:t xml:space="preserve">USP36 and the RNA-binding protein Pep </w:t>
      </w:r>
      <w:r w:rsidRPr="00CE52BF">
        <w:rPr>
          <w:rFonts w:ascii="ArialMT" w:hAnsi="ArialMT" w:cs="ArialMT"/>
          <w:lang w:val="en-US"/>
        </w:rPr>
        <w:t xml:space="preserve">and determine functional significance </w:t>
      </w:r>
      <w:r w:rsidR="00684E9E">
        <w:rPr>
          <w:rFonts w:ascii="ArialMT" w:hAnsi="ArialMT" w:cs="ArialMT"/>
          <w:lang w:val="en-US"/>
        </w:rPr>
        <w:t xml:space="preserve">of this interaction </w:t>
      </w:r>
      <w:r w:rsidRPr="00CE52BF">
        <w:rPr>
          <w:rFonts w:ascii="ArialMT" w:hAnsi="ArialMT" w:cs="ArialMT"/>
          <w:lang w:val="en-US"/>
        </w:rPr>
        <w:t xml:space="preserve">during spermatogenesis. </w:t>
      </w: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3206E2B0" w14:textId="58D3DD8F" w:rsidR="00624AC9" w:rsidRPr="00F04B61" w:rsidRDefault="00CE52B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E52BF">
        <w:rPr>
          <w:rFonts w:ascii="ArialMT" w:hAnsi="ArialMT" w:cs="ArialMT"/>
          <w:lang w:val="en-US"/>
        </w:rPr>
        <w:t xml:space="preserve">Ubiquitination and </w:t>
      </w:r>
      <w:proofErr w:type="spellStart"/>
      <w:r w:rsidRPr="00CE52BF">
        <w:rPr>
          <w:rFonts w:ascii="ArialMT" w:hAnsi="ArialMT" w:cs="ArialMT"/>
          <w:lang w:val="en-US"/>
        </w:rPr>
        <w:t>deubiquitination</w:t>
      </w:r>
      <w:proofErr w:type="spellEnd"/>
      <w:r w:rsidRPr="00CE52BF">
        <w:rPr>
          <w:rFonts w:ascii="ArialMT" w:hAnsi="ArialMT" w:cs="ArialMT"/>
          <w:lang w:val="en-US"/>
        </w:rPr>
        <w:t xml:space="preserve"> are key regulators of protein stability, localization and activity. Our laboratory recently identified the </w:t>
      </w:r>
      <w:proofErr w:type="spellStart"/>
      <w:r w:rsidRPr="00CE52BF">
        <w:rPr>
          <w:rFonts w:ascii="ArialMT" w:hAnsi="ArialMT" w:cs="ArialMT"/>
          <w:lang w:val="en-US"/>
        </w:rPr>
        <w:t>deubiquitinase</w:t>
      </w:r>
      <w:proofErr w:type="spellEnd"/>
      <w:r w:rsidRPr="00CE52BF">
        <w:rPr>
          <w:rFonts w:ascii="ArialMT" w:hAnsi="ArialMT" w:cs="ArialMT"/>
          <w:lang w:val="en-US"/>
        </w:rPr>
        <w:t xml:space="preserve"> USP36 as an essential regulator of </w:t>
      </w:r>
      <w:r>
        <w:rPr>
          <w:rFonts w:ascii="ArialMT" w:hAnsi="ArialMT" w:cs="ArialMT"/>
          <w:lang w:val="en-US"/>
        </w:rPr>
        <w:t>spermatogenesis</w:t>
      </w:r>
      <w:r w:rsidRPr="00CE52BF">
        <w:rPr>
          <w:rFonts w:ascii="ArialMT" w:hAnsi="ArialMT" w:cs="ArialMT"/>
          <w:lang w:val="en-US"/>
        </w:rPr>
        <w:t xml:space="preserve"> in Drosophila. Preliminary data indicate that USP36 physically associates with the RNA-binding protein Pep, suggesting an unexpected functional link between ubiquitin signaling and post-transcriptional gene regulation. The objective of this internship is to characterize the USP36–Pep interaction at both the functional and structural levels. The student will first validate and map the interaction using co-immunoprecipitation assays in cultured Drosophila S2 cells expressing full-length and truncated protein variants. The interaction will then be investigated in vivo during spermatogenesis using bimolecular fluorescence complementation (</w:t>
      </w:r>
      <w:proofErr w:type="spellStart"/>
      <w:r w:rsidRPr="00CE52BF">
        <w:rPr>
          <w:rFonts w:ascii="ArialMT" w:hAnsi="ArialMT" w:cs="ArialMT"/>
          <w:lang w:val="en-US"/>
        </w:rPr>
        <w:t>BiFC</w:t>
      </w:r>
      <w:proofErr w:type="spellEnd"/>
      <w:r w:rsidRPr="00CE52BF">
        <w:rPr>
          <w:rFonts w:ascii="ArialMT" w:hAnsi="ArialMT" w:cs="ArialMT"/>
          <w:lang w:val="en-US"/>
        </w:rPr>
        <w:t xml:space="preserve">). These approaches will provide insight into the molecular basis and developmental significance of the USP36–Pep complex and contribute to understanding how </w:t>
      </w:r>
      <w:proofErr w:type="spellStart"/>
      <w:r w:rsidRPr="00CE52BF">
        <w:rPr>
          <w:rFonts w:ascii="ArialMT" w:hAnsi="ArialMT" w:cs="ArialMT"/>
          <w:lang w:val="en-US"/>
        </w:rPr>
        <w:t>deubiquitination</w:t>
      </w:r>
      <w:proofErr w:type="spellEnd"/>
      <w:r w:rsidRPr="00CE52BF">
        <w:rPr>
          <w:rFonts w:ascii="ArialMT" w:hAnsi="ArialMT" w:cs="ArialMT"/>
          <w:lang w:val="en-US"/>
        </w:rPr>
        <w:t xml:space="preserve"> controls germline differentiation.</w:t>
      </w: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26B4FD57" w14:textId="36A03722" w:rsidR="00624AC9" w:rsidRPr="00F04B61" w:rsidRDefault="004844F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4844F1">
        <w:rPr>
          <w:rFonts w:ascii="ArialMT" w:hAnsi="ArialMT" w:cs="ArialMT"/>
          <w:lang w:val="en-US"/>
        </w:rPr>
        <w:t xml:space="preserve">Molecular cloning and expression of tagged full-length and mutant proteins; co-immunoprecipitation and Western blotting in Drosophila S2 cells; generation and analysis of </w:t>
      </w:r>
      <w:proofErr w:type="spellStart"/>
      <w:r w:rsidRPr="004844F1">
        <w:rPr>
          <w:rFonts w:ascii="ArialMT" w:hAnsi="ArialMT" w:cs="ArialMT"/>
          <w:lang w:val="en-US"/>
        </w:rPr>
        <w:t>BiFC</w:t>
      </w:r>
      <w:proofErr w:type="spellEnd"/>
      <w:r w:rsidRPr="004844F1">
        <w:rPr>
          <w:rFonts w:ascii="ArialMT" w:hAnsi="ArialMT" w:cs="ArialMT"/>
          <w:lang w:val="en-US"/>
        </w:rPr>
        <w:t xml:space="preserve"> transgenic flies; fluorescence microscopy and image analysis of testes.</w:t>
      </w: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31259720" w14:textId="77777777" w:rsidR="004844F1" w:rsidRPr="004844F1" w:rsidRDefault="004844F1" w:rsidP="004844F1">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20"/>
          <w:szCs w:val="20"/>
          <w:lang w:val="en-US"/>
        </w:rPr>
      </w:pPr>
      <w:r w:rsidRPr="004844F1">
        <w:rPr>
          <w:rFonts w:ascii="ArialMT" w:hAnsi="ArialMT" w:cs="ArialMT"/>
          <w:sz w:val="20"/>
          <w:szCs w:val="20"/>
          <w:lang w:val="en-US"/>
        </w:rPr>
        <w:t xml:space="preserve">The </w:t>
      </w:r>
      <w:proofErr w:type="spellStart"/>
      <w:r w:rsidRPr="004844F1">
        <w:rPr>
          <w:rFonts w:ascii="ArialMT" w:hAnsi="ArialMT" w:cs="ArialMT"/>
          <w:sz w:val="20"/>
          <w:szCs w:val="20"/>
          <w:lang w:val="en-US"/>
        </w:rPr>
        <w:t>deubiquitinase</w:t>
      </w:r>
      <w:proofErr w:type="spellEnd"/>
      <w:r w:rsidRPr="004844F1">
        <w:rPr>
          <w:rFonts w:ascii="ArialMT" w:hAnsi="ArialMT" w:cs="ArialMT"/>
          <w:sz w:val="20"/>
          <w:szCs w:val="20"/>
          <w:lang w:val="en-US"/>
        </w:rPr>
        <w:t xml:space="preserve"> USP36 </w:t>
      </w:r>
      <w:proofErr w:type="spellStart"/>
      <w:r w:rsidRPr="004844F1">
        <w:rPr>
          <w:rFonts w:ascii="ArialMT" w:hAnsi="ArialMT" w:cs="ArialMT"/>
          <w:sz w:val="20"/>
          <w:szCs w:val="20"/>
          <w:lang w:val="en-US"/>
        </w:rPr>
        <w:t>funtions</w:t>
      </w:r>
      <w:proofErr w:type="spellEnd"/>
      <w:r w:rsidRPr="004844F1">
        <w:rPr>
          <w:rFonts w:ascii="ArialMT" w:hAnsi="ArialMT" w:cs="ArialMT"/>
          <w:sz w:val="20"/>
          <w:szCs w:val="20"/>
          <w:lang w:val="en-US"/>
        </w:rPr>
        <w:t xml:space="preserve"> through catalytic-dependent and catalytic-independent mechanisms in Drosophila. </w:t>
      </w:r>
      <w:proofErr w:type="spellStart"/>
      <w:r w:rsidRPr="004844F1">
        <w:rPr>
          <w:rFonts w:ascii="ArialMT" w:hAnsi="ArialMT" w:cs="ArialMT"/>
          <w:sz w:val="20"/>
          <w:szCs w:val="20"/>
          <w:lang w:val="en-US"/>
        </w:rPr>
        <w:t>Coirry</w:t>
      </w:r>
      <w:proofErr w:type="spellEnd"/>
      <w:r w:rsidRPr="004844F1">
        <w:rPr>
          <w:rFonts w:ascii="ArialMT" w:hAnsi="ArialMT" w:cs="ArialMT"/>
          <w:sz w:val="20"/>
          <w:szCs w:val="20"/>
          <w:lang w:val="en-US"/>
        </w:rPr>
        <w:t xml:space="preserve"> C, </w:t>
      </w:r>
      <w:proofErr w:type="spellStart"/>
      <w:r w:rsidRPr="004844F1">
        <w:rPr>
          <w:rFonts w:ascii="ArialMT" w:hAnsi="ArialMT" w:cs="ArialMT"/>
          <w:sz w:val="20"/>
          <w:szCs w:val="20"/>
          <w:lang w:val="en-US"/>
        </w:rPr>
        <w:t>Manessier</w:t>
      </w:r>
      <w:proofErr w:type="spellEnd"/>
      <w:r w:rsidRPr="004844F1">
        <w:rPr>
          <w:rFonts w:ascii="ArialMT" w:hAnsi="ArialMT" w:cs="ArialMT"/>
          <w:sz w:val="20"/>
          <w:szCs w:val="20"/>
          <w:lang w:val="en-US"/>
        </w:rPr>
        <w:t xml:space="preserve"> J, Clot C, Mortier M, </w:t>
      </w:r>
      <w:proofErr w:type="spellStart"/>
      <w:r w:rsidRPr="004844F1">
        <w:rPr>
          <w:rFonts w:ascii="ArialMT" w:hAnsi="ArialMT" w:cs="ArialMT"/>
          <w:sz w:val="20"/>
          <w:szCs w:val="20"/>
          <w:lang w:val="en-US"/>
        </w:rPr>
        <w:t>Fauvarque</w:t>
      </w:r>
      <w:proofErr w:type="spellEnd"/>
      <w:r w:rsidRPr="004844F1">
        <w:rPr>
          <w:rFonts w:ascii="ArialMT" w:hAnsi="ArialMT" w:cs="ArialMT"/>
          <w:sz w:val="20"/>
          <w:szCs w:val="20"/>
          <w:lang w:val="en-US"/>
        </w:rPr>
        <w:t xml:space="preserve"> MO, </w:t>
      </w:r>
      <w:proofErr w:type="spellStart"/>
      <w:r w:rsidRPr="004844F1">
        <w:rPr>
          <w:rFonts w:ascii="ArialMT" w:hAnsi="ArialMT" w:cs="ArialMT"/>
          <w:sz w:val="20"/>
          <w:szCs w:val="20"/>
          <w:lang w:val="en-US"/>
        </w:rPr>
        <w:t>Taillebourg</w:t>
      </w:r>
      <w:proofErr w:type="spellEnd"/>
      <w:r w:rsidRPr="004844F1">
        <w:rPr>
          <w:rFonts w:ascii="ArialMT" w:hAnsi="ArialMT" w:cs="ArialMT"/>
          <w:sz w:val="20"/>
          <w:szCs w:val="20"/>
          <w:lang w:val="en-US"/>
        </w:rPr>
        <w:t xml:space="preserve"> E. Genetics. 2025 </w:t>
      </w:r>
    </w:p>
    <w:p w14:paraId="0A236CB0" w14:textId="77777777" w:rsidR="004844F1" w:rsidRPr="004844F1" w:rsidRDefault="004844F1" w:rsidP="004844F1">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20"/>
          <w:szCs w:val="20"/>
        </w:rPr>
      </w:pPr>
      <w:r w:rsidRPr="004844F1">
        <w:rPr>
          <w:rFonts w:ascii="ArialMT" w:hAnsi="ArialMT" w:cs="ArialMT"/>
          <w:sz w:val="20"/>
          <w:szCs w:val="20"/>
          <w:lang w:val="en-US"/>
        </w:rPr>
        <w:t xml:space="preserve">The catalytic-dead Pcif1 regulates gene expression and fertility in Drosophila. </w:t>
      </w:r>
      <w:r w:rsidRPr="004844F1">
        <w:rPr>
          <w:rFonts w:ascii="ArialMT" w:hAnsi="ArialMT" w:cs="ArialMT"/>
          <w:sz w:val="20"/>
          <w:szCs w:val="20"/>
        </w:rPr>
        <w:t xml:space="preserve">Franco G, Taillebourg E, </w:t>
      </w:r>
      <w:proofErr w:type="spellStart"/>
      <w:r w:rsidRPr="004844F1">
        <w:rPr>
          <w:rFonts w:ascii="ArialMT" w:hAnsi="ArialMT" w:cs="ArialMT"/>
          <w:sz w:val="20"/>
          <w:szCs w:val="20"/>
        </w:rPr>
        <w:t>Delfino</w:t>
      </w:r>
      <w:proofErr w:type="spellEnd"/>
      <w:r w:rsidRPr="004844F1">
        <w:rPr>
          <w:rFonts w:ascii="ArialMT" w:hAnsi="ArialMT" w:cs="ArialMT"/>
          <w:sz w:val="20"/>
          <w:szCs w:val="20"/>
        </w:rPr>
        <w:t xml:space="preserve"> E, </w:t>
      </w:r>
      <w:proofErr w:type="spellStart"/>
      <w:r w:rsidRPr="004844F1">
        <w:rPr>
          <w:rFonts w:ascii="ArialMT" w:hAnsi="ArialMT" w:cs="ArialMT"/>
          <w:sz w:val="20"/>
          <w:szCs w:val="20"/>
        </w:rPr>
        <w:t>Homolka</w:t>
      </w:r>
      <w:proofErr w:type="spellEnd"/>
      <w:r w:rsidRPr="004844F1">
        <w:rPr>
          <w:rFonts w:ascii="ArialMT" w:hAnsi="ArialMT" w:cs="ArialMT"/>
          <w:sz w:val="20"/>
          <w:szCs w:val="20"/>
        </w:rPr>
        <w:t xml:space="preserve"> D, Gueguen N, </w:t>
      </w:r>
      <w:proofErr w:type="spellStart"/>
      <w:r w:rsidRPr="004844F1">
        <w:rPr>
          <w:rFonts w:ascii="ArialMT" w:hAnsi="ArialMT" w:cs="ArialMT"/>
          <w:sz w:val="20"/>
          <w:szCs w:val="20"/>
        </w:rPr>
        <w:t>Brasset</w:t>
      </w:r>
      <w:proofErr w:type="spellEnd"/>
      <w:r w:rsidRPr="004844F1">
        <w:rPr>
          <w:rFonts w:ascii="ArialMT" w:hAnsi="ArialMT" w:cs="ArialMT"/>
          <w:sz w:val="20"/>
          <w:szCs w:val="20"/>
        </w:rPr>
        <w:t xml:space="preserve"> E, Pandey RR, Pillai RS, </w:t>
      </w:r>
      <w:proofErr w:type="spellStart"/>
      <w:r w:rsidRPr="004844F1">
        <w:rPr>
          <w:rFonts w:ascii="ArialMT" w:hAnsi="ArialMT" w:cs="ArialMT"/>
          <w:sz w:val="20"/>
          <w:szCs w:val="20"/>
        </w:rPr>
        <w:t>Fauvarque</w:t>
      </w:r>
      <w:proofErr w:type="spellEnd"/>
      <w:r w:rsidRPr="004844F1">
        <w:rPr>
          <w:rFonts w:ascii="ArialMT" w:hAnsi="ArialMT" w:cs="ArialMT"/>
          <w:sz w:val="20"/>
          <w:szCs w:val="20"/>
        </w:rPr>
        <w:t xml:space="preserve"> MO. RNA. </w:t>
      </w:r>
    </w:p>
    <w:p w14:paraId="0ACD6AC7" w14:textId="74B8122B" w:rsidR="00624AC9" w:rsidRPr="004844F1" w:rsidRDefault="004844F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20"/>
          <w:szCs w:val="20"/>
          <w:lang w:val="en-US"/>
        </w:rPr>
      </w:pPr>
      <w:r w:rsidRPr="004844F1">
        <w:rPr>
          <w:rFonts w:ascii="ArialMT" w:hAnsi="ArialMT" w:cs="ArialMT"/>
          <w:sz w:val="20"/>
          <w:szCs w:val="20"/>
          <w:lang w:val="en-US"/>
        </w:rPr>
        <w:t xml:space="preserve">A Nucleolar Isoform of the Drosophila Ubiquitin Specific Protease dUSP36 Regulates MYC-Dependent Cell Growth. </w:t>
      </w:r>
      <w:proofErr w:type="spellStart"/>
      <w:r w:rsidRPr="004844F1">
        <w:rPr>
          <w:rFonts w:ascii="ArialMT" w:hAnsi="ArialMT" w:cs="ArialMT"/>
          <w:sz w:val="20"/>
          <w:szCs w:val="20"/>
          <w:lang w:val="en-US"/>
        </w:rPr>
        <w:t>Thevenon</w:t>
      </w:r>
      <w:proofErr w:type="spellEnd"/>
      <w:r w:rsidRPr="004844F1">
        <w:rPr>
          <w:rFonts w:ascii="ArialMT" w:hAnsi="ArialMT" w:cs="ArialMT"/>
          <w:sz w:val="20"/>
          <w:szCs w:val="20"/>
          <w:lang w:val="en-US"/>
        </w:rPr>
        <w:t xml:space="preserve"> D, </w:t>
      </w:r>
      <w:proofErr w:type="spellStart"/>
      <w:r w:rsidRPr="004844F1">
        <w:rPr>
          <w:rFonts w:ascii="ArialMT" w:hAnsi="ArialMT" w:cs="ArialMT"/>
          <w:sz w:val="20"/>
          <w:szCs w:val="20"/>
          <w:lang w:val="en-US"/>
        </w:rPr>
        <w:t>Seffouh</w:t>
      </w:r>
      <w:proofErr w:type="spellEnd"/>
      <w:r w:rsidRPr="004844F1">
        <w:rPr>
          <w:rFonts w:ascii="ArialMT" w:hAnsi="ArialMT" w:cs="ArialMT"/>
          <w:sz w:val="20"/>
          <w:szCs w:val="20"/>
          <w:lang w:val="en-US"/>
        </w:rPr>
        <w:t xml:space="preserve"> I, </w:t>
      </w:r>
      <w:proofErr w:type="spellStart"/>
      <w:r w:rsidRPr="004844F1">
        <w:rPr>
          <w:rFonts w:ascii="ArialMT" w:hAnsi="ArialMT" w:cs="ArialMT"/>
          <w:sz w:val="20"/>
          <w:szCs w:val="20"/>
          <w:lang w:val="en-US"/>
        </w:rPr>
        <w:t>Pillet</w:t>
      </w:r>
      <w:proofErr w:type="spellEnd"/>
      <w:r w:rsidRPr="004844F1">
        <w:rPr>
          <w:rFonts w:ascii="ArialMT" w:hAnsi="ArialMT" w:cs="ArialMT"/>
          <w:sz w:val="20"/>
          <w:szCs w:val="20"/>
          <w:lang w:val="en-US"/>
        </w:rPr>
        <w:t xml:space="preserve"> C, Crespo-Yanez X, </w:t>
      </w:r>
      <w:proofErr w:type="spellStart"/>
      <w:r w:rsidRPr="004844F1">
        <w:rPr>
          <w:rFonts w:ascii="ArialMT" w:hAnsi="ArialMT" w:cs="ArialMT"/>
          <w:sz w:val="20"/>
          <w:szCs w:val="20"/>
          <w:lang w:val="en-US"/>
        </w:rPr>
        <w:t>Fauvarque</w:t>
      </w:r>
      <w:proofErr w:type="spellEnd"/>
      <w:r w:rsidRPr="004844F1">
        <w:rPr>
          <w:rFonts w:ascii="ArialMT" w:hAnsi="ArialMT" w:cs="ArialMT"/>
          <w:sz w:val="20"/>
          <w:szCs w:val="20"/>
          <w:lang w:val="en-US"/>
        </w:rPr>
        <w:t xml:space="preserve"> MO, </w:t>
      </w:r>
      <w:proofErr w:type="spellStart"/>
      <w:r w:rsidRPr="004844F1">
        <w:rPr>
          <w:rFonts w:ascii="ArialMT" w:hAnsi="ArialMT" w:cs="ArialMT"/>
          <w:sz w:val="20"/>
          <w:szCs w:val="20"/>
          <w:lang w:val="en-US"/>
        </w:rPr>
        <w:t>Taillebourg</w:t>
      </w:r>
      <w:proofErr w:type="spellEnd"/>
      <w:r w:rsidRPr="004844F1">
        <w:rPr>
          <w:rFonts w:ascii="ArialMT" w:hAnsi="ArialMT" w:cs="ArialMT"/>
          <w:sz w:val="20"/>
          <w:szCs w:val="20"/>
          <w:lang w:val="en-US"/>
        </w:rPr>
        <w:t xml:space="preserve"> E. Front Cell Dev Biol. 2020</w:t>
      </w: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6BD64B17" w14:textId="14BB287D" w:rsidR="004844F1" w:rsidRPr="00425055" w:rsidRDefault="004844F1" w:rsidP="00425055">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4844F1">
        <w:rPr>
          <w:rFonts w:ascii="ArialMT" w:hAnsi="ArialMT" w:cs="ArialMT"/>
          <w:lang w:val="en-US"/>
        </w:rPr>
        <w:t>Molecular biology</w:t>
      </w:r>
      <w:r>
        <w:rPr>
          <w:rFonts w:ascii="ArialMT" w:hAnsi="ArialMT" w:cs="ArialMT"/>
          <w:lang w:val="en-US"/>
        </w:rPr>
        <w:t xml:space="preserve"> - </w:t>
      </w:r>
      <w:r w:rsidRPr="004844F1">
        <w:rPr>
          <w:rFonts w:ascii="ArialMT" w:hAnsi="ArialMT" w:cs="ArialMT"/>
          <w:lang w:val="en-US"/>
        </w:rPr>
        <w:t>Cell biology</w:t>
      </w:r>
      <w:r>
        <w:rPr>
          <w:rFonts w:ascii="ArialMT" w:hAnsi="ArialMT" w:cs="ArialMT"/>
          <w:lang w:val="en-US"/>
        </w:rPr>
        <w:t xml:space="preserve"> - </w:t>
      </w:r>
      <w:r w:rsidRPr="004844F1">
        <w:rPr>
          <w:rFonts w:ascii="ArialMT" w:hAnsi="ArialMT" w:cs="ArialMT"/>
          <w:lang w:val="en-US"/>
        </w:rPr>
        <w:t>Drosophila genetics</w:t>
      </w:r>
      <w:r>
        <w:rPr>
          <w:rFonts w:ascii="ArialMT" w:hAnsi="ArialMT" w:cs="ArialMT"/>
          <w:lang w:val="en-US"/>
        </w:rPr>
        <w:t xml:space="preserve"> - </w:t>
      </w:r>
      <w:r w:rsidRPr="004844F1">
        <w:rPr>
          <w:rFonts w:ascii="ArialMT" w:hAnsi="ArialMT" w:cs="ArialMT"/>
          <w:lang w:val="en-US"/>
        </w:rPr>
        <w:t>Fluorescence microscopy</w:t>
      </w:r>
    </w:p>
    <w:sectPr w:rsidR="004844F1" w:rsidRPr="00425055">
      <w:headerReference w:type="default" r:id="rId6"/>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C8F7B" w14:textId="77777777" w:rsidR="00203A04" w:rsidRDefault="00203A04">
      <w:pPr>
        <w:spacing w:after="0" w:line="240" w:lineRule="auto"/>
      </w:pPr>
      <w:r>
        <w:separator/>
      </w:r>
    </w:p>
  </w:endnote>
  <w:endnote w:type="continuationSeparator" w:id="0">
    <w:p w14:paraId="3DAC357C" w14:textId="77777777" w:rsidR="00203A04" w:rsidRDefault="00203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A252D" w14:textId="77777777" w:rsidR="00203A04" w:rsidRDefault="00203A04">
      <w:pPr>
        <w:spacing w:after="0" w:line="240" w:lineRule="auto"/>
      </w:pPr>
      <w:r>
        <w:separator/>
      </w:r>
    </w:p>
  </w:footnote>
  <w:footnote w:type="continuationSeparator" w:id="0">
    <w:p w14:paraId="69E34D78" w14:textId="77777777" w:rsidR="00203A04" w:rsidRDefault="00203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90927"/>
    <w:rsid w:val="000E023E"/>
    <w:rsid w:val="001068C8"/>
    <w:rsid w:val="0014405C"/>
    <w:rsid w:val="00203A04"/>
    <w:rsid w:val="00231EF7"/>
    <w:rsid w:val="002505B8"/>
    <w:rsid w:val="00263BDC"/>
    <w:rsid w:val="00271FD2"/>
    <w:rsid w:val="00293C67"/>
    <w:rsid w:val="002C01AA"/>
    <w:rsid w:val="002E23C9"/>
    <w:rsid w:val="003C4CA5"/>
    <w:rsid w:val="003C73D3"/>
    <w:rsid w:val="00404965"/>
    <w:rsid w:val="00425055"/>
    <w:rsid w:val="004678A1"/>
    <w:rsid w:val="004807C5"/>
    <w:rsid w:val="004844F1"/>
    <w:rsid w:val="00521738"/>
    <w:rsid w:val="0058371E"/>
    <w:rsid w:val="005D0A84"/>
    <w:rsid w:val="005D731B"/>
    <w:rsid w:val="00613F7E"/>
    <w:rsid w:val="006223FE"/>
    <w:rsid w:val="00624AC9"/>
    <w:rsid w:val="0064724F"/>
    <w:rsid w:val="006636E8"/>
    <w:rsid w:val="006802F4"/>
    <w:rsid w:val="00684E9E"/>
    <w:rsid w:val="00695256"/>
    <w:rsid w:val="00696A0E"/>
    <w:rsid w:val="006D5B8C"/>
    <w:rsid w:val="006E7A3F"/>
    <w:rsid w:val="00767F47"/>
    <w:rsid w:val="007874A7"/>
    <w:rsid w:val="007A1DD7"/>
    <w:rsid w:val="007B5E51"/>
    <w:rsid w:val="0080228C"/>
    <w:rsid w:val="00816D41"/>
    <w:rsid w:val="00825925"/>
    <w:rsid w:val="00834F6C"/>
    <w:rsid w:val="008433C7"/>
    <w:rsid w:val="009647F7"/>
    <w:rsid w:val="00987460"/>
    <w:rsid w:val="009B5542"/>
    <w:rsid w:val="00A539E8"/>
    <w:rsid w:val="00AA45B4"/>
    <w:rsid w:val="00AE48EE"/>
    <w:rsid w:val="00AE7838"/>
    <w:rsid w:val="00B5223B"/>
    <w:rsid w:val="00BA5683"/>
    <w:rsid w:val="00BB33C0"/>
    <w:rsid w:val="00C97339"/>
    <w:rsid w:val="00CE52BF"/>
    <w:rsid w:val="00D1321E"/>
    <w:rsid w:val="00DE25D5"/>
    <w:rsid w:val="00DF3271"/>
    <w:rsid w:val="00E02D88"/>
    <w:rsid w:val="00E03D5C"/>
    <w:rsid w:val="00E53717"/>
    <w:rsid w:val="00E72134"/>
    <w:rsid w:val="00EC7CC6"/>
    <w:rsid w:val="00EE6A3B"/>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2694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2026-07-20T09:51:00Z</dcterms:created>
  <dcterms:modified xsi:type="dcterms:W3CDTF">2026-07-20T09:51:00Z</dcterms:modified>
</cp:coreProperties>
</file>