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FE" w:rsidRDefault="00533E5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ArialMT" w:hAnsi="ArialMT" w:cs="ArialMT"/>
          <w:b/>
          <w:bCs/>
          <w:sz w:val="28"/>
          <w:szCs w:val="28"/>
          <w:lang w:val="en-US"/>
        </w:rPr>
        <w:t>Master 2 internship project</w:t>
      </w:r>
    </w:p>
    <w:p w:rsidR="00E714FE" w:rsidRDefault="00533E5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jc w:val="center"/>
        <w:rPr>
          <w:rFonts w:ascii="ArialMT" w:hAnsi="ArialMT" w:cs="ArialMT"/>
          <w:b/>
          <w:bCs/>
          <w:sz w:val="28"/>
          <w:szCs w:val="28"/>
          <w:lang w:val="en-US"/>
        </w:rPr>
      </w:pPr>
      <w:r>
        <w:rPr>
          <w:rFonts w:ascii="ArialMT" w:hAnsi="ArialMT" w:cs="ArialMT"/>
          <w:b/>
          <w:bCs/>
          <w:sz w:val="28"/>
          <w:szCs w:val="28"/>
          <w:lang w:val="en-US"/>
        </w:rPr>
        <w:t>Year 2025-2026</w:t>
      </w:r>
    </w:p>
    <w:p w:rsidR="00E714FE" w:rsidRDefault="00E714FE">
      <w:pPr>
        <w:widowControl w:val="0"/>
        <w:tabs>
          <w:tab w:val="left" w:pos="5954"/>
        </w:tabs>
        <w:spacing w:after="0" w:line="240" w:lineRule="auto"/>
        <w:ind w:right="-6"/>
        <w:rPr>
          <w:rFonts w:ascii="ArialMT" w:hAnsi="ArialMT" w:cs="ArialMT"/>
          <w:b/>
          <w:bCs/>
          <w:sz w:val="28"/>
          <w:szCs w:val="28"/>
          <w:lang w:val="en-US"/>
        </w:rPr>
      </w:pPr>
    </w:p>
    <w:p w:rsidR="00E714FE" w:rsidRDefault="00533E5D">
      <w:pPr>
        <w:widowControl w:val="0"/>
        <w:tabs>
          <w:tab w:val="left" w:pos="5954"/>
        </w:tabs>
        <w:spacing w:before="120"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>Laboratory/Institute:</w:t>
      </w:r>
      <w:r>
        <w:rPr>
          <w:rFonts w:ascii="ArialMT" w:hAnsi="ArialMT" w:cs="ArialMT"/>
          <w:sz w:val="24"/>
          <w:szCs w:val="24"/>
          <w:lang w:val="en-US"/>
        </w:rPr>
        <w:t xml:space="preserve"> </w:t>
      </w:r>
      <w:r w:rsidR="00D04747">
        <w:rPr>
          <w:rFonts w:ascii="ArialMT" w:hAnsi="ArialMT" w:cs="ArialMT"/>
          <w:sz w:val="24"/>
          <w:szCs w:val="24"/>
          <w:lang w:val="en-US"/>
        </w:rPr>
        <w:t>Institute for Advanced Biosciences</w:t>
      </w:r>
      <w:r>
        <w:rPr>
          <w:rFonts w:ascii="ArialMT" w:hAnsi="ArialMT" w:cs="ArialMT"/>
          <w:sz w:val="24"/>
          <w:szCs w:val="24"/>
          <w:lang w:val="en-US"/>
        </w:rPr>
        <w:tab/>
      </w:r>
      <w:r>
        <w:rPr>
          <w:rFonts w:ascii="ArialMT" w:hAnsi="ArialMT" w:cs="ArialMT"/>
          <w:b/>
          <w:bCs/>
          <w:sz w:val="24"/>
          <w:szCs w:val="24"/>
          <w:lang w:val="en-US"/>
        </w:rPr>
        <w:t>Director:</w:t>
      </w:r>
      <w:r>
        <w:rPr>
          <w:rFonts w:ascii="ArialMT" w:hAnsi="ArialMT" w:cs="ArialMT"/>
          <w:sz w:val="24"/>
          <w:szCs w:val="24"/>
          <w:lang w:val="en-US"/>
        </w:rPr>
        <w:t xml:space="preserve"> </w:t>
      </w:r>
      <w:r w:rsidR="00D04747">
        <w:rPr>
          <w:rFonts w:ascii="ArialMT" w:hAnsi="ArialMT" w:cs="ArialMT"/>
          <w:sz w:val="24"/>
          <w:szCs w:val="24"/>
          <w:lang w:val="en-US"/>
        </w:rPr>
        <w:t>C. Arnoult</w:t>
      </w:r>
    </w:p>
    <w:p w:rsidR="00E714FE" w:rsidRDefault="00533E5D">
      <w:pPr>
        <w:widowControl w:val="0"/>
        <w:tabs>
          <w:tab w:val="left" w:pos="5954"/>
        </w:tabs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>Team:</w:t>
      </w:r>
      <w:r>
        <w:rPr>
          <w:rFonts w:ascii="ArialMT" w:hAnsi="ArialMT" w:cs="ArialMT"/>
          <w:sz w:val="24"/>
          <w:szCs w:val="24"/>
          <w:lang w:val="en-US"/>
        </w:rPr>
        <w:t xml:space="preserve"> </w:t>
      </w:r>
      <w:hyperlink r:id="rId6" w:history="1">
        <w:r w:rsidR="00D04747" w:rsidRPr="000C0C3F">
          <w:rPr>
            <w:rStyle w:val="Lienhypertexte"/>
            <w:rFonts w:ascii="ArialMT" w:hAnsi="ArialMT" w:cs="ArialMT"/>
            <w:sz w:val="24"/>
            <w:szCs w:val="24"/>
            <w:lang w:val="en-US"/>
          </w:rPr>
          <w:t>Novel Drug Targets in Human Diseases</w:t>
        </w:r>
      </w:hyperlink>
      <w:r>
        <w:rPr>
          <w:rFonts w:ascii="ArialMT" w:hAnsi="ArialMT" w:cs="ArialMT"/>
          <w:sz w:val="24"/>
          <w:szCs w:val="24"/>
          <w:lang w:val="en-US"/>
        </w:rPr>
        <w:tab/>
      </w:r>
      <w:r>
        <w:rPr>
          <w:rFonts w:ascii="ArialMT" w:hAnsi="ArialMT" w:cs="ArialMT"/>
          <w:b/>
          <w:bCs/>
          <w:sz w:val="24"/>
          <w:szCs w:val="24"/>
          <w:lang w:val="en-US"/>
        </w:rPr>
        <w:t>Head of the team:</w:t>
      </w:r>
      <w:r>
        <w:rPr>
          <w:rFonts w:ascii="ArialMT" w:hAnsi="ArialMT" w:cs="ArialMT"/>
          <w:sz w:val="24"/>
          <w:szCs w:val="24"/>
          <w:lang w:val="en-US"/>
        </w:rPr>
        <w:t xml:space="preserve"> </w:t>
      </w:r>
      <w:r w:rsidR="00D04747">
        <w:rPr>
          <w:rFonts w:ascii="ArialMT" w:hAnsi="ArialMT" w:cs="ArialMT"/>
          <w:sz w:val="24"/>
          <w:szCs w:val="24"/>
          <w:lang w:val="en-US"/>
        </w:rPr>
        <w:t>A. Palencia</w:t>
      </w:r>
    </w:p>
    <w:p w:rsidR="00E714FE" w:rsidRDefault="00E714FE">
      <w:pPr>
        <w:widowControl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:rsidR="00E714FE" w:rsidRDefault="00533E5D">
      <w:pPr>
        <w:widowControl w:val="0"/>
        <w:tabs>
          <w:tab w:val="left" w:pos="7938"/>
          <w:tab w:val="left" w:pos="9498"/>
        </w:tabs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>Name and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status of the scientist in charge of the project:</w:t>
      </w:r>
      <w:r>
        <w:rPr>
          <w:rFonts w:ascii="ArialMT" w:hAnsi="ArialMT" w:cs="ArialMT"/>
          <w:sz w:val="24"/>
          <w:szCs w:val="24"/>
          <w:lang w:val="en-US"/>
        </w:rPr>
        <w:t xml:space="preserve"> </w:t>
      </w:r>
      <w:r w:rsidR="00D04747">
        <w:rPr>
          <w:rFonts w:ascii="ArialMT" w:hAnsi="ArialMT" w:cs="ArialMT"/>
          <w:sz w:val="24"/>
          <w:szCs w:val="24"/>
          <w:lang w:val="en-US"/>
        </w:rPr>
        <w:t>A. Palencia, G. Hoffmann</w:t>
      </w:r>
    </w:p>
    <w:p w:rsidR="00E714FE" w:rsidRDefault="00E714FE">
      <w:pPr>
        <w:widowControl w:val="0"/>
        <w:tabs>
          <w:tab w:val="left" w:pos="7938"/>
          <w:tab w:val="left" w:pos="9498"/>
        </w:tabs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:rsidR="00E714FE" w:rsidRDefault="00533E5D">
      <w:pPr>
        <w:widowControl w:val="0"/>
        <w:tabs>
          <w:tab w:val="left" w:pos="7938"/>
          <w:tab w:val="left" w:pos="9498"/>
        </w:tabs>
        <w:spacing w:after="0"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ab/>
        <w:t xml:space="preserve">HDR:  </w:t>
      </w:r>
      <w:proofErr w:type="gramStart"/>
      <w:r>
        <w:rPr>
          <w:rFonts w:ascii="ArialMT" w:hAnsi="ArialMT" w:cs="ArialMT"/>
          <w:b/>
          <w:bCs/>
          <w:sz w:val="24"/>
          <w:szCs w:val="24"/>
          <w:lang w:val="en-US"/>
        </w:rPr>
        <w:t>yes</w:t>
      </w:r>
      <w:proofErr w:type="gramEnd"/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 w:rsidR="00D04747">
        <w:rPr>
          <w:rFonts w:ascii="MS Gothic" w:eastAsia="MS Gothic" w:hAnsi="MS Gothic" w:cs="ArialMT"/>
          <w:b/>
          <w:bCs/>
          <w:sz w:val="24"/>
          <w:szCs w:val="24"/>
          <w:lang w:val="en-US"/>
        </w:rPr>
        <w:t>x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  no </w:t>
      </w:r>
      <w:r>
        <w:rPr>
          <w:rFonts w:ascii="MS Gothic" w:eastAsia="MS Gothic" w:hAnsi="MS Gothic" w:cs="ArialMT"/>
          <w:b/>
          <w:bCs/>
          <w:sz w:val="24"/>
          <w:szCs w:val="24"/>
          <w:lang w:val="en-US"/>
        </w:rPr>
        <w:t>☐</w:t>
      </w:r>
    </w:p>
    <w:p w:rsidR="00E714FE" w:rsidRDefault="00533E5D">
      <w:pPr>
        <w:widowControl w:val="0"/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>Address:</w:t>
      </w:r>
      <w:r>
        <w:rPr>
          <w:rFonts w:ascii="ArialMT" w:hAnsi="ArialMT" w:cs="ArialMT"/>
          <w:sz w:val="24"/>
          <w:szCs w:val="24"/>
          <w:lang w:val="en-US"/>
        </w:rPr>
        <w:t xml:space="preserve"> </w:t>
      </w:r>
      <w:r w:rsidR="00D04747">
        <w:rPr>
          <w:rFonts w:ascii="ArialMT" w:hAnsi="ArialMT" w:cs="ArialMT"/>
          <w:sz w:val="24"/>
          <w:szCs w:val="24"/>
          <w:lang w:val="en-US"/>
        </w:rPr>
        <w:t>Site Sante, Allee des Alpes</w:t>
      </w:r>
    </w:p>
    <w:p w:rsidR="00E714FE" w:rsidRDefault="00533E5D">
      <w:pPr>
        <w:widowControl w:val="0"/>
        <w:tabs>
          <w:tab w:val="left" w:pos="3969"/>
        </w:tabs>
        <w:spacing w:after="12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>Phone:</w:t>
      </w:r>
      <w:r>
        <w:rPr>
          <w:rFonts w:ascii="ArialMT" w:hAnsi="ArialMT" w:cs="ArialMT"/>
          <w:sz w:val="24"/>
          <w:szCs w:val="24"/>
          <w:lang w:val="en-US"/>
        </w:rPr>
        <w:t xml:space="preserve"> 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ab/>
        <w:t>e-mail:</w:t>
      </w:r>
      <w:r>
        <w:rPr>
          <w:rFonts w:ascii="ArialMT" w:hAnsi="ArialMT" w:cs="ArialMT"/>
          <w:sz w:val="24"/>
          <w:szCs w:val="24"/>
          <w:lang w:val="en-US"/>
        </w:rPr>
        <w:t xml:space="preserve"> </w:t>
      </w:r>
      <w:r w:rsidR="007F3336">
        <w:rPr>
          <w:rFonts w:ascii="ArialMT" w:hAnsi="ArialMT" w:cs="ArialMT"/>
          <w:sz w:val="24"/>
          <w:szCs w:val="24"/>
          <w:lang w:val="en-US"/>
        </w:rPr>
        <w:t>andres.palencia@univ-grenoble-alpes.fr</w:t>
      </w:r>
    </w:p>
    <w:p w:rsidR="00E714FE" w:rsidRDefault="00533E5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line="240" w:lineRule="auto"/>
        <w:ind w:right="-6"/>
        <w:rPr>
          <w:rFonts w:ascii="ArialMT" w:hAnsi="ArialMT" w:cs="ArialMT"/>
          <w:b/>
          <w:bCs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lang w:val="en-US"/>
        </w:rPr>
        <w:t>Program of the Master’s degree in Biology:</w:t>
      </w:r>
    </w:p>
    <w:p w:rsidR="00E714FE" w:rsidRDefault="00715A0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5670"/>
        </w:tabs>
        <w:spacing w:after="0" w:line="240" w:lineRule="auto"/>
        <w:ind w:right="-6"/>
        <w:rPr>
          <w:rFonts w:ascii="Arial" w:hAnsi="Arial" w:cs="Arial"/>
          <w:sz w:val="24"/>
          <w:szCs w:val="24"/>
          <w:lang w:val="en-US"/>
        </w:rPr>
      </w:pPr>
      <w:r>
        <w:rPr>
          <w:rFonts w:ascii="MS Gothic" w:eastAsia="MS Gothic" w:hAnsi="MS Gothic" w:cs="ArialMT"/>
          <w:b/>
          <w:bCs/>
          <w:sz w:val="24"/>
          <w:szCs w:val="24"/>
          <w:lang w:val="en-US"/>
        </w:rPr>
        <w:t xml:space="preserve"> </w:t>
      </w:r>
      <w:r w:rsidR="007F3336">
        <w:rPr>
          <w:rFonts w:ascii="MS Gothic" w:eastAsia="MS Gothic" w:hAnsi="MS Gothic" w:cs="ArialMT"/>
          <w:b/>
          <w:bCs/>
          <w:sz w:val="24"/>
          <w:szCs w:val="24"/>
          <w:lang w:val="en-US"/>
        </w:rPr>
        <w:t>x</w:t>
      </w:r>
      <w:r>
        <w:rPr>
          <w:rFonts w:ascii="MS Gothic" w:eastAsia="MS Gothic" w:hAnsi="MS Gothic" w:cs="ArialMT"/>
          <w:b/>
          <w:bCs/>
          <w:sz w:val="24"/>
          <w:szCs w:val="24"/>
          <w:lang w:val="en-US"/>
        </w:rPr>
        <w:t xml:space="preserve"> </w:t>
      </w:r>
      <w:r>
        <w:rPr>
          <w:rFonts w:ascii="ArialMT" w:hAnsi="ArialMT" w:cs="ArialMT"/>
          <w:sz w:val="24"/>
          <w:szCs w:val="24"/>
          <w:lang w:val="en-US"/>
        </w:rPr>
        <w:t>Microbiology, Infectious Diseases and Immunology</w:t>
      </w:r>
      <w:r>
        <w:rPr>
          <w:rFonts w:ascii="ArialMT" w:hAnsi="ArialMT" w:cs="ArialMT"/>
          <w:sz w:val="24"/>
          <w:szCs w:val="24"/>
          <w:lang w:val="en-US"/>
        </w:rPr>
        <w:tab/>
      </w:r>
      <w:r w:rsidR="007F3336">
        <w:rPr>
          <w:rFonts w:ascii="MS Gothic" w:eastAsia="MS Gothic" w:hAnsi="MS Gothic" w:cs="ArialMT"/>
          <w:b/>
          <w:bCs/>
          <w:sz w:val="24"/>
          <w:szCs w:val="24"/>
          <w:lang w:val="en-US"/>
        </w:rPr>
        <w:t>x</w:t>
      </w:r>
      <w:r>
        <w:rPr>
          <w:rFonts w:ascii="MS Gothic" w:eastAsia="MS Gothic" w:hAnsi="MS Gothic" w:cs="ArialMT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MS Gothic" w:hAnsi="Arial" w:cs="Arial"/>
          <w:bCs/>
          <w:sz w:val="24"/>
          <w:szCs w:val="24"/>
          <w:lang w:val="en-US"/>
        </w:rPr>
        <w:t>Biochemistry &amp; Structure</w:t>
      </w:r>
    </w:p>
    <w:p w:rsidR="00E714FE" w:rsidRDefault="00533E5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5670"/>
        </w:tabs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  <w:r>
        <w:rPr>
          <w:rFonts w:ascii="MS Gothic" w:eastAsia="MS Gothic" w:hAnsi="MS Gothic" w:cs="ArialMT"/>
          <w:b/>
          <w:bCs/>
          <w:sz w:val="24"/>
          <w:szCs w:val="24"/>
          <w:lang w:val="en-US"/>
        </w:rPr>
        <w:t>☐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>
        <w:rPr>
          <w:rFonts w:ascii="ArialMT" w:hAnsi="ArialMT" w:cs="ArialMT"/>
          <w:sz w:val="24"/>
          <w:szCs w:val="24"/>
          <w:lang w:val="en-US"/>
        </w:rPr>
        <w:t xml:space="preserve">Physiology, Epigenetics, Differentiation, Cancer    </w:t>
      </w:r>
      <w:r>
        <w:rPr>
          <w:rFonts w:ascii="MS Gothic" w:eastAsia="MS Gothic" w:hAnsi="MS Gothic" w:cs="ArialMT"/>
          <w:b/>
          <w:bCs/>
          <w:sz w:val="24"/>
          <w:szCs w:val="24"/>
          <w:lang w:val="en-US"/>
        </w:rPr>
        <w:t>☐</w:t>
      </w:r>
      <w:r>
        <w:rPr>
          <w:rFonts w:ascii="ArialMT" w:hAnsi="ArialMT" w:cs="ArialMT"/>
          <w:b/>
          <w:bCs/>
          <w:sz w:val="24"/>
          <w:szCs w:val="24"/>
          <w:lang w:val="en-US"/>
        </w:rPr>
        <w:t xml:space="preserve"> </w:t>
      </w:r>
      <w:r>
        <w:rPr>
          <w:rFonts w:ascii="ArialMT" w:hAnsi="ArialMT" w:cs="ArialMT"/>
          <w:bCs/>
          <w:sz w:val="24"/>
          <w:szCs w:val="24"/>
          <w:lang w:val="en-US"/>
        </w:rPr>
        <w:t>Neurosciences and Neurobiology</w:t>
      </w:r>
      <w:r>
        <w:rPr>
          <w:rFonts w:ascii="ArialMT" w:hAnsi="ArialMT" w:cs="ArialMT"/>
          <w:sz w:val="24"/>
          <w:szCs w:val="24"/>
          <w:lang w:val="en-US"/>
        </w:rPr>
        <w:t xml:space="preserve">       </w:t>
      </w:r>
    </w:p>
    <w:p w:rsidR="00E714FE" w:rsidRDefault="00E714FE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tabs>
          <w:tab w:val="left" w:pos="5670"/>
        </w:tabs>
        <w:spacing w:after="0" w:line="240" w:lineRule="auto"/>
        <w:ind w:right="-6"/>
        <w:rPr>
          <w:rFonts w:ascii="ArialMT" w:hAnsi="ArialMT" w:cs="ArialMT"/>
          <w:sz w:val="24"/>
          <w:szCs w:val="24"/>
          <w:lang w:val="en-US"/>
        </w:rPr>
      </w:pPr>
    </w:p>
    <w:p w:rsidR="00E714FE" w:rsidRDefault="00533E5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  <w:r>
        <w:rPr>
          <w:rFonts w:ascii="ArialMT" w:hAnsi="ArialMT" w:cs="ArialMT"/>
          <w:b/>
          <w:bCs/>
          <w:sz w:val="24"/>
          <w:szCs w:val="24"/>
          <w:u w:val="single"/>
          <w:lang w:val="en-US"/>
        </w:rPr>
        <w:t>Title of the project</w:t>
      </w:r>
      <w:r>
        <w:rPr>
          <w:rFonts w:ascii="ArialMT" w:hAnsi="ArialMT" w:cs="ArialMT"/>
          <w:b/>
          <w:sz w:val="24"/>
          <w:szCs w:val="24"/>
          <w:lang w:val="en-US"/>
        </w:rPr>
        <w:t xml:space="preserve">: </w:t>
      </w:r>
    </w:p>
    <w:p w:rsidR="00E714FE" w:rsidRDefault="007F3336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120" w:line="240" w:lineRule="auto"/>
        <w:ind w:right="-6"/>
        <w:rPr>
          <w:rFonts w:ascii="ArialMT" w:hAnsi="ArialMT" w:cs="ArialMT"/>
          <w:b/>
          <w:sz w:val="24"/>
          <w:szCs w:val="24"/>
          <w:lang w:val="en-US"/>
        </w:rPr>
      </w:pPr>
      <w:r>
        <w:rPr>
          <w:rFonts w:ascii="ArialMT" w:hAnsi="ArialMT" w:cs="ArialMT"/>
          <w:b/>
          <w:sz w:val="24"/>
          <w:szCs w:val="24"/>
          <w:lang w:val="en-US"/>
        </w:rPr>
        <w:t xml:space="preserve">Characterization of </w:t>
      </w:r>
      <w:r w:rsidR="005C14B6">
        <w:rPr>
          <w:rFonts w:ascii="ArialMT" w:hAnsi="ArialMT" w:cs="ArialMT"/>
          <w:b/>
          <w:sz w:val="24"/>
          <w:szCs w:val="24"/>
          <w:lang w:val="en-US"/>
        </w:rPr>
        <w:t>N</w:t>
      </w:r>
      <w:r>
        <w:rPr>
          <w:rFonts w:ascii="ArialMT" w:hAnsi="ArialMT" w:cs="ArialMT"/>
          <w:b/>
          <w:sz w:val="24"/>
          <w:szCs w:val="24"/>
          <w:lang w:val="en-US"/>
        </w:rPr>
        <w:t xml:space="preserve">ovel Boron-based </w:t>
      </w:r>
      <w:r w:rsidR="005C14B6">
        <w:rPr>
          <w:rFonts w:ascii="ArialMT" w:hAnsi="ArialMT" w:cs="ArialMT"/>
          <w:b/>
          <w:sz w:val="24"/>
          <w:szCs w:val="24"/>
          <w:lang w:val="en-US"/>
        </w:rPr>
        <w:t>C</w:t>
      </w:r>
      <w:r>
        <w:rPr>
          <w:rFonts w:ascii="ArialMT" w:hAnsi="ArialMT" w:cs="ArialMT"/>
          <w:b/>
          <w:sz w:val="24"/>
          <w:szCs w:val="24"/>
          <w:lang w:val="en-US"/>
        </w:rPr>
        <w:t xml:space="preserve">ompounds </w:t>
      </w:r>
      <w:r w:rsidR="005C14B6">
        <w:rPr>
          <w:rFonts w:ascii="ArialMT" w:hAnsi="ArialMT" w:cs="ArialMT"/>
          <w:b/>
          <w:sz w:val="24"/>
          <w:szCs w:val="24"/>
          <w:lang w:val="en-US"/>
        </w:rPr>
        <w:t>T</w:t>
      </w:r>
      <w:r>
        <w:rPr>
          <w:rFonts w:ascii="ArialMT" w:hAnsi="ArialMT" w:cs="ArialMT"/>
          <w:b/>
          <w:sz w:val="24"/>
          <w:szCs w:val="24"/>
          <w:lang w:val="en-US"/>
        </w:rPr>
        <w:t xml:space="preserve">argeting </w:t>
      </w:r>
      <w:r w:rsidR="005C14B6">
        <w:rPr>
          <w:rFonts w:ascii="ArialMT" w:hAnsi="ArialMT" w:cs="ArialMT"/>
          <w:b/>
          <w:sz w:val="24"/>
          <w:szCs w:val="24"/>
          <w:lang w:val="en-US"/>
        </w:rPr>
        <w:t>B</w:t>
      </w:r>
      <w:r>
        <w:rPr>
          <w:rFonts w:ascii="ArialMT" w:hAnsi="ArialMT" w:cs="ArialMT"/>
          <w:b/>
          <w:sz w:val="24"/>
          <w:szCs w:val="24"/>
          <w:lang w:val="en-US"/>
        </w:rPr>
        <w:t xml:space="preserve">acterial Leucyl-tRNA </w:t>
      </w:r>
      <w:r w:rsidR="005C14B6">
        <w:rPr>
          <w:rFonts w:ascii="ArialMT" w:hAnsi="ArialMT" w:cs="ArialMT"/>
          <w:b/>
          <w:sz w:val="24"/>
          <w:szCs w:val="24"/>
          <w:lang w:val="en-US"/>
        </w:rPr>
        <w:t>S</w:t>
      </w:r>
      <w:r>
        <w:rPr>
          <w:rFonts w:ascii="ArialMT" w:hAnsi="ArialMT" w:cs="ArialMT"/>
          <w:b/>
          <w:sz w:val="24"/>
          <w:szCs w:val="24"/>
          <w:lang w:val="en-US"/>
        </w:rPr>
        <w:t>ynthetase</w:t>
      </w:r>
    </w:p>
    <w:p w:rsidR="00E714FE" w:rsidRDefault="00533E5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 xml:space="preserve">Objectives (up to 3 lines): </w:t>
      </w:r>
    </w:p>
    <w:p w:rsidR="00E714FE" w:rsidRDefault="00533E5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 xml:space="preserve">Following the discovery of a novel benzoxaborole active against Gram-positive bacteria, the primary objective is to characterize its interaction with leucyl-tRNA synthetase using a biophysical approach, </w:t>
      </w:r>
      <w:r>
        <w:rPr>
          <w:rFonts w:ascii="ArialMT" w:hAnsi="ArialMT" w:cs="ArialMT"/>
          <w:lang w:val="en-US"/>
        </w:rPr>
        <w:t>and to leverage this data for the structure-guided design of derivatives with improved antimicrobial properties.</w:t>
      </w:r>
    </w:p>
    <w:p w:rsidR="00E714FE" w:rsidRDefault="00E714FE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</w:p>
    <w:p w:rsidR="00E714FE" w:rsidRDefault="00533E5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 xml:space="preserve">Abstract (up to 10 lines): </w:t>
      </w:r>
    </w:p>
    <w:p w:rsidR="00E714FE" w:rsidRDefault="00533E5D" w:rsidP="007F3336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jc w:val="both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Benzoxaboroles are a novel class of antimicrobials with potent activity against a variety of pathogens. They are k</w:t>
      </w:r>
      <w:r>
        <w:rPr>
          <w:rFonts w:ascii="ArialMT" w:hAnsi="ArialMT" w:cs="ArialMT"/>
          <w:lang w:val="en-US"/>
        </w:rPr>
        <w:t>nown to inhibit leucyl-tRNA synthetase in complex with its cognate tRNA, a critical enzyme in protein synthesis. A screening of a compound library against several pathogenic bacteria led to the identification of the first benzoxaborole with promising activ</w:t>
      </w:r>
      <w:r>
        <w:rPr>
          <w:rFonts w:ascii="ArialMT" w:hAnsi="ArialMT" w:cs="ArialMT"/>
          <w:lang w:val="en-US"/>
        </w:rPr>
        <w:t>ity against Gram-positive bacteria. Preliminary data confirmed that this compound targets leucyl-tRNA synthetase through novel interactions distinct from those observed with previously known benzoxaboroles. We aim to further characterize this drug–target i</w:t>
      </w:r>
      <w:r>
        <w:rPr>
          <w:rFonts w:ascii="ArialMT" w:hAnsi="ArialMT" w:cs="ArialMT"/>
          <w:lang w:val="en-US"/>
        </w:rPr>
        <w:t xml:space="preserve">nteraction using a biophysical approach, including microcalorimetry, X-ray crystallography, and cryo-electron microscopy. </w:t>
      </w:r>
      <w:r w:rsidR="005C14B6">
        <w:rPr>
          <w:rFonts w:ascii="ArialMT" w:hAnsi="ArialMT" w:cs="ArialMT"/>
          <w:lang w:val="en-US"/>
        </w:rPr>
        <w:t xml:space="preserve">Novel AI-tools will be used to predict structures and complexes with inhibitors. </w:t>
      </w:r>
      <w:r>
        <w:rPr>
          <w:rFonts w:ascii="ArialMT" w:hAnsi="ArialMT" w:cs="ArialMT"/>
          <w:lang w:val="en-US"/>
        </w:rPr>
        <w:t>The resulting data will be used to guide structure-ba</w:t>
      </w:r>
      <w:r>
        <w:rPr>
          <w:rFonts w:ascii="ArialMT" w:hAnsi="ArialMT" w:cs="ArialMT"/>
          <w:lang w:val="en-US"/>
        </w:rPr>
        <w:t>sed optimization of the compound to enhance its activity and support the design of novel derivatives against emerging pathogens, and improve existing lead compounds targeting Gram-negative species.</w:t>
      </w:r>
      <w:r w:rsidR="007F3336">
        <w:rPr>
          <w:rFonts w:ascii="ArialMT" w:hAnsi="ArialMT" w:cs="ArialMT"/>
          <w:lang w:val="en-US"/>
        </w:rPr>
        <w:t xml:space="preserve"> </w:t>
      </w:r>
      <w:r w:rsidR="004A18BE">
        <w:rPr>
          <w:rFonts w:ascii="ArialMT" w:hAnsi="ArialMT" w:cs="ArialMT"/>
          <w:lang w:val="en-US"/>
        </w:rPr>
        <w:t>This stage requires the interaction (in English) with</w:t>
      </w:r>
      <w:r w:rsidR="007F3336">
        <w:rPr>
          <w:rFonts w:ascii="ArialMT" w:hAnsi="ArialMT" w:cs="ArialMT"/>
          <w:lang w:val="en-US"/>
        </w:rPr>
        <w:t xml:space="preserve"> academics, clinicians and pharma.</w:t>
      </w:r>
    </w:p>
    <w:p w:rsidR="00E714FE" w:rsidRDefault="00E714FE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</w:p>
    <w:p w:rsidR="00E714FE" w:rsidRDefault="00533E5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 xml:space="preserve">Methods (up to 3 lines): </w:t>
      </w:r>
    </w:p>
    <w:p w:rsidR="00E714FE" w:rsidRDefault="00533E5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The project involves the production and purification of protein using a bacterial expression system, as well as the</w:t>
      </w:r>
      <w:r>
        <w:rPr>
          <w:rFonts w:ascii="ArialMT" w:hAnsi="ArialMT" w:cs="ArialMT"/>
          <w:i/>
          <w:iCs/>
          <w:lang w:val="en-US"/>
        </w:rPr>
        <w:t xml:space="preserve"> in vitro </w:t>
      </w:r>
      <w:r>
        <w:rPr>
          <w:rFonts w:ascii="ArialMT" w:hAnsi="ArialMT" w:cs="ArialMT"/>
          <w:lang w:val="en-US"/>
        </w:rPr>
        <w:t>synthesis and purification of RNA. Drug–target interactions will be charac</w:t>
      </w:r>
      <w:r>
        <w:rPr>
          <w:rFonts w:ascii="ArialMT" w:hAnsi="ArialMT" w:cs="ArialMT"/>
          <w:lang w:val="en-US"/>
        </w:rPr>
        <w:t xml:space="preserve">terized primarily through X-ray crystallography, </w:t>
      </w:r>
      <w:r w:rsidR="007F3336">
        <w:rPr>
          <w:rFonts w:ascii="ArialMT" w:hAnsi="ArialMT" w:cs="ArialMT"/>
          <w:lang w:val="en-US"/>
        </w:rPr>
        <w:t xml:space="preserve">cryo-electron microscopy, </w:t>
      </w:r>
      <w:r>
        <w:rPr>
          <w:rFonts w:ascii="ArialMT" w:hAnsi="ArialMT" w:cs="ArialMT"/>
          <w:lang w:val="en-US"/>
        </w:rPr>
        <w:t>microcalorimetry and thermal shift assays.</w:t>
      </w:r>
    </w:p>
    <w:p w:rsidR="00E714FE" w:rsidRDefault="00E714FE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</w:p>
    <w:p w:rsidR="00E714FE" w:rsidRDefault="00533E5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 xml:space="preserve">Up to 3 relevant publications of the team: </w:t>
      </w:r>
    </w:p>
    <w:p w:rsidR="00E714FE" w:rsidRDefault="00533E5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- Hoffmann et al., 2024. Targeting a microbiota Wolbachian aminoacyl-tRNA synthetase to block</w:t>
      </w:r>
      <w:r>
        <w:rPr>
          <w:rFonts w:ascii="ArialMT" w:hAnsi="ArialMT" w:cs="ArialMT"/>
          <w:lang w:val="en-US"/>
        </w:rPr>
        <w:t xml:space="preserve"> its pathogenic host. Sci. Adv.10: eado1453. DOI:10.1126/sciadv.ado1453</w:t>
      </w:r>
    </w:p>
    <w:p w:rsidR="00E714FE" w:rsidRDefault="00533E5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- Hoffmann et al., 2023. Adenosine-Dependent Activation Mechanism of Prodrugs Targeting an Aminoacyl-</w:t>
      </w:r>
      <w:r>
        <w:rPr>
          <w:rFonts w:ascii="ArialMT" w:hAnsi="ArialMT" w:cs="ArialMT"/>
          <w:lang w:val="en-US"/>
        </w:rPr>
        <w:lastRenderedPageBreak/>
        <w:t>tRNA Synthetase. J. Am. Chem. Soc. 145(2): 800–810. DOI:10.1021/jacs.2c04808</w:t>
      </w:r>
    </w:p>
    <w:p w:rsidR="00E714FE" w:rsidRDefault="00533E5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 xml:space="preserve">- </w:t>
      </w:r>
      <w:proofErr w:type="spellStart"/>
      <w:r>
        <w:rPr>
          <w:rFonts w:ascii="ArialMT" w:hAnsi="ArialMT" w:cs="ArialMT"/>
          <w:lang w:val="en-US"/>
        </w:rPr>
        <w:t>Luka</w:t>
      </w:r>
      <w:r>
        <w:rPr>
          <w:rFonts w:ascii="ArialMT" w:hAnsi="ArialMT" w:cs="ArialMT"/>
          <w:lang w:val="en-US"/>
        </w:rPr>
        <w:t>rska</w:t>
      </w:r>
      <w:proofErr w:type="spellEnd"/>
      <w:r>
        <w:rPr>
          <w:rFonts w:ascii="ArialMT" w:hAnsi="ArialMT" w:cs="ArialMT"/>
          <w:lang w:val="en-US"/>
        </w:rPr>
        <w:t xml:space="preserve"> &amp; Palencia. 2020. Aminoacyl-tRNA synthetases as drug targets. Enzymes. 48: 321-350. DOI: 10.1016/bs.enz.2020.07.001.</w:t>
      </w:r>
    </w:p>
    <w:p w:rsidR="00E714FE" w:rsidRDefault="00E714FE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</w:p>
    <w:p w:rsidR="00E714FE" w:rsidRDefault="00533E5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before="120" w:after="120" w:line="240" w:lineRule="auto"/>
        <w:ind w:right="-6"/>
        <w:rPr>
          <w:rFonts w:ascii="ArialMT" w:hAnsi="ArialMT" w:cs="ArialMT"/>
          <w:sz w:val="24"/>
          <w:szCs w:val="24"/>
          <w:u w:val="single"/>
          <w:lang w:val="en-US"/>
        </w:rPr>
      </w:pPr>
      <w:r>
        <w:rPr>
          <w:rFonts w:ascii="ArialMT" w:hAnsi="ArialMT" w:cs="ArialMT"/>
          <w:sz w:val="24"/>
          <w:szCs w:val="24"/>
          <w:u w:val="single"/>
          <w:lang w:val="en-US"/>
        </w:rPr>
        <w:t>Requested domains of expertise</w:t>
      </w:r>
      <w:r w:rsidR="007F3336">
        <w:rPr>
          <w:rFonts w:ascii="ArialMT" w:hAnsi="ArialMT" w:cs="ArialMT"/>
          <w:sz w:val="24"/>
          <w:szCs w:val="24"/>
          <w:u w:val="single"/>
          <w:lang w:val="en-US"/>
        </w:rPr>
        <w:t xml:space="preserve"> (or willingness to learn those)</w:t>
      </w:r>
      <w:r>
        <w:rPr>
          <w:rFonts w:ascii="ArialMT" w:hAnsi="ArialMT" w:cs="ArialMT"/>
          <w:sz w:val="24"/>
          <w:szCs w:val="24"/>
          <w:u w:val="single"/>
          <w:lang w:val="en-US"/>
        </w:rPr>
        <w:t xml:space="preserve"> (up to 5 keywords): </w:t>
      </w:r>
    </w:p>
    <w:p w:rsidR="00E714FE" w:rsidRDefault="00533E5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Protein production</w:t>
      </w:r>
    </w:p>
    <w:p w:rsidR="00E714FE" w:rsidRDefault="00533E5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RNA production</w:t>
      </w:r>
    </w:p>
    <w:p w:rsidR="00E714FE" w:rsidRDefault="00533E5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 xml:space="preserve">X-ray </w:t>
      </w:r>
      <w:r>
        <w:rPr>
          <w:rFonts w:ascii="ArialMT" w:hAnsi="ArialMT" w:cs="ArialMT"/>
          <w:lang w:val="en-US"/>
        </w:rPr>
        <w:t>crystallography</w:t>
      </w:r>
      <w:r w:rsidR="007F3336">
        <w:rPr>
          <w:rFonts w:ascii="ArialMT" w:hAnsi="ArialMT" w:cs="ArialMT"/>
          <w:lang w:val="en-US"/>
        </w:rPr>
        <w:t xml:space="preserve"> or cryo-electron microscopy</w:t>
      </w:r>
    </w:p>
    <w:p w:rsidR="00E714FE" w:rsidRDefault="00533E5D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Structure-guided drug design</w:t>
      </w:r>
    </w:p>
    <w:p w:rsidR="00E714FE" w:rsidRDefault="005C14B6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40" w:lineRule="auto"/>
        <w:ind w:right="-6"/>
        <w:rPr>
          <w:rFonts w:ascii="ArialMT" w:hAnsi="ArialMT" w:cs="ArialMT"/>
          <w:lang w:val="en-US"/>
        </w:rPr>
      </w:pPr>
      <w:r>
        <w:rPr>
          <w:rFonts w:ascii="ArialMT" w:hAnsi="ArialMT" w:cs="ArialMT"/>
          <w:lang w:val="en-US"/>
        </w:rPr>
        <w:t>AI-tools in structural biology and ligand identification</w:t>
      </w:r>
    </w:p>
    <w:p w:rsidR="00E714FE" w:rsidRDefault="00E714FE">
      <w:pPr>
        <w:rPr>
          <w:lang w:val="en-US"/>
        </w:rPr>
      </w:pPr>
    </w:p>
    <w:sectPr w:rsidR="00E714FE">
      <w:headerReference w:type="default" r:id="rId7"/>
      <w:pgSz w:w="11906" w:h="16838"/>
      <w:pgMar w:top="851" w:right="566" w:bottom="567" w:left="851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25D" w:rsidRDefault="00DC225D">
      <w:pPr>
        <w:spacing w:after="0" w:line="240" w:lineRule="auto"/>
      </w:pPr>
      <w:r>
        <w:separator/>
      </w:r>
    </w:p>
  </w:endnote>
  <w:endnote w:type="continuationSeparator" w:id="0">
    <w:p w:rsidR="00DC225D" w:rsidRDefault="00DC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25D" w:rsidRDefault="00DC225D">
      <w:pPr>
        <w:spacing w:after="0" w:line="240" w:lineRule="auto"/>
      </w:pPr>
      <w:r>
        <w:separator/>
      </w:r>
    </w:p>
  </w:footnote>
  <w:footnote w:type="continuationSeparator" w:id="0">
    <w:p w:rsidR="00DC225D" w:rsidRDefault="00DC2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4FE" w:rsidRDefault="00533E5D">
    <w:pPr>
      <w:pStyle w:val="En-tte"/>
      <w:jc w:val="center"/>
      <w:rPr>
        <w:rFonts w:ascii="Arial Black" w:hAnsi="Arial Black"/>
        <w:b/>
        <w:sz w:val="24"/>
        <w:szCs w:val="24"/>
        <w:lang w:val="en-US"/>
      </w:rPr>
    </w:pPr>
    <w:r>
      <w:rPr>
        <w:noProof/>
      </w:rPr>
      <w:drawing>
        <wp:inline distT="0" distB="0" distL="0" distR="0">
          <wp:extent cx="1334135" cy="810260"/>
          <wp:effectExtent l="0" t="0" r="0" b="0"/>
          <wp:docPr id="1" name="Image 1" descr="UFR Chimie biologie - Université Grenoble Alp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FR Chimie biologie - Université Grenoble Alp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10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</w:t>
    </w:r>
    <w:r>
      <w:rPr>
        <w:rFonts w:ascii="Arial Black" w:hAnsi="Arial Black"/>
        <w:b/>
        <w:sz w:val="24"/>
        <w:szCs w:val="24"/>
        <w:lang w:val="en-US"/>
      </w:rPr>
      <w:t xml:space="preserve">Master’s degree in Biology – Chemistry-Biology </w:t>
    </w:r>
    <w:r>
      <w:rPr>
        <w:rFonts w:ascii="Arial Black" w:hAnsi="Arial Black"/>
        <w:b/>
        <w:sz w:val="24"/>
        <w:szCs w:val="24"/>
        <w:lang w:val="en-US"/>
      </w:rPr>
      <w:t>Department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FE"/>
    <w:rsid w:val="000C0C3F"/>
    <w:rsid w:val="004A18BE"/>
    <w:rsid w:val="00533E5D"/>
    <w:rsid w:val="005C14B6"/>
    <w:rsid w:val="00715A0D"/>
    <w:rsid w:val="007F3336"/>
    <w:rsid w:val="00862FD0"/>
    <w:rsid w:val="00AC21B8"/>
    <w:rsid w:val="00D04747"/>
    <w:rsid w:val="00D442C1"/>
    <w:rsid w:val="00DC225D"/>
    <w:rsid w:val="00E7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A1B8A-05EB-B646-B2DB-28AFA757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AC9"/>
    <w:pPr>
      <w:spacing w:after="200" w:line="276" w:lineRule="auto"/>
    </w:pPr>
    <w:rPr>
      <w:rFonts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locked/>
    <w:rsid w:val="00624AC9"/>
    <w:rPr>
      <w:rFonts w:ascii="Calibri" w:hAnsi="Calibri" w:cs="Times New Roman"/>
      <w:lang w:val="x-none"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locked/>
    <w:rsid w:val="00624AC9"/>
    <w:rPr>
      <w:rFonts w:ascii="Tahoma" w:hAnsi="Tahoma" w:cs="Tahoma"/>
      <w:sz w:val="16"/>
      <w:szCs w:val="16"/>
      <w:lang w:val="x-none"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locked/>
    <w:rsid w:val="007874A7"/>
    <w:rPr>
      <w:rFonts w:ascii="Calibri" w:hAnsi="Calibri" w:cs="Times New Roman"/>
      <w:lang w:val="x-none" w:eastAsia="fr-FR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624AC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624AC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7874A7"/>
    <w:pPr>
      <w:tabs>
        <w:tab w:val="center" w:pos="4536"/>
        <w:tab w:val="right" w:pos="9072"/>
      </w:tabs>
      <w:spacing w:after="0" w:line="240" w:lineRule="auto"/>
    </w:pPr>
  </w:style>
  <w:style w:type="character" w:styleId="Lienhypertexte">
    <w:name w:val="Hyperlink"/>
    <w:basedOn w:val="Policepardfaut"/>
    <w:uiPriority w:val="99"/>
    <w:rsid w:val="000C0C3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C0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veltargets-palencia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Université Joseph Fourier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delviest</dc:creator>
  <dc:description/>
  <cp:lastModifiedBy>SYLVIE CANAVESIO</cp:lastModifiedBy>
  <cp:revision>2</cp:revision>
  <cp:lastPrinted>2012-05-07T09:02:00Z</cp:lastPrinted>
  <dcterms:created xsi:type="dcterms:W3CDTF">2025-07-03T09:40:00Z</dcterms:created>
  <dcterms:modified xsi:type="dcterms:W3CDTF">2025-07-03T09:40:00Z</dcterms:modified>
  <dc:language>en-GB</dc:language>
</cp:coreProperties>
</file>